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自治区统计局</w:t>
      </w:r>
    </w:p>
    <w:p>
      <w:pPr>
        <w:spacing w:line="700" w:lineRule="exact"/>
        <w:jc w:val="center"/>
        <w:rPr>
          <w:rFonts w:hint="eastAsia" w:ascii="黑体" w:hAnsi="黑体" w:eastAsia="黑体" w:cs="黑体"/>
          <w:b/>
          <w:sz w:val="44"/>
          <w:szCs w:val="44"/>
        </w:rPr>
      </w:pPr>
      <w:r>
        <w:rPr>
          <w:rFonts w:hint="eastAsia" w:ascii="方正小标宋_GBK" w:hAnsi="方正小标宋_GBK" w:eastAsia="方正小标宋_GBK" w:cs="方正小标宋_GBK"/>
          <w:b w:val="0"/>
          <w:bCs/>
          <w:sz w:val="44"/>
          <w:szCs w:val="44"/>
          <w:lang w:val="en-US" w:eastAsia="zh-CN"/>
        </w:rPr>
        <w:t>2022</w:t>
      </w:r>
      <w:r>
        <w:rPr>
          <w:rFonts w:hint="eastAsia" w:ascii="方正小标宋_GBK" w:hAnsi="方正小标宋_GBK" w:eastAsia="方正小标宋_GBK" w:cs="方正小标宋_GBK"/>
          <w:b w:val="0"/>
          <w:bCs/>
          <w:sz w:val="44"/>
          <w:szCs w:val="44"/>
        </w:rPr>
        <w:t>年政府信息公开工作年度报告</w:t>
      </w:r>
    </w:p>
    <w:p/>
    <w:p>
      <w:pPr>
        <w:widowControl/>
        <w:numPr>
          <w:ilvl w:val="0"/>
          <w:numId w:val="0"/>
        </w:numPr>
        <w:spacing w:line="560" w:lineRule="exact"/>
        <w:ind w:firstLine="640" w:firstLineChars="200"/>
        <w:rPr>
          <w:rFonts w:hint="eastAsia" w:ascii="黑体" w:hAnsi="黑体" w:eastAsia="黑体" w:cs="黑体"/>
          <w:color w:val="auto"/>
          <w:sz w:val="32"/>
          <w:szCs w:val="32"/>
        </w:rPr>
      </w:pPr>
      <w:r>
        <w:rPr>
          <w:rFonts w:hint="eastAsia" w:ascii="仿宋_GB2312" w:hAnsi="仿宋_GB2312" w:eastAsia="仿宋_GB2312" w:cs="仿宋_GB2312"/>
          <w:color w:val="auto"/>
          <w:sz w:val="32"/>
          <w:szCs w:val="32"/>
          <w:lang w:eastAsia="zh-CN"/>
        </w:rPr>
        <w:t>根据</w:t>
      </w:r>
      <w:r>
        <w:rPr>
          <w:rFonts w:hint="eastAsia" w:ascii="仿宋_GB2312" w:hAnsi="仿宋_GB2312" w:eastAsia="仿宋_GB2312" w:cs="仿宋_GB2312"/>
          <w:color w:val="auto"/>
          <w:sz w:val="32"/>
          <w:szCs w:val="32"/>
        </w:rPr>
        <w:t>《中华人民共和国政府信息公开条例》</w:t>
      </w:r>
      <w:r>
        <w:rPr>
          <w:rFonts w:hint="eastAsia" w:ascii="仿宋_GB2312" w:hAnsi="仿宋_GB2312" w:eastAsia="仿宋_GB2312" w:cs="仿宋_GB2312"/>
          <w:color w:val="auto"/>
          <w:sz w:val="32"/>
          <w:szCs w:val="32"/>
          <w:lang w:eastAsia="zh-CN"/>
        </w:rPr>
        <w:t>规定和</w:t>
      </w:r>
      <w:r>
        <w:rPr>
          <w:rFonts w:hint="eastAsia" w:ascii="仿宋_GB2312" w:hAnsi="仿宋_GB2312" w:eastAsia="仿宋_GB2312" w:cs="仿宋_GB2312"/>
          <w:color w:val="auto"/>
          <w:sz w:val="32"/>
          <w:szCs w:val="32"/>
          <w:lang w:val="en-US" w:eastAsia="zh-CN"/>
        </w:rPr>
        <w:t>《国务院办公厅政府信息与政务公开办公室关于印发〈中华人民共和国政府信息公开工作年度报告格式〉</w:t>
      </w:r>
      <w:r>
        <w:rPr>
          <w:rFonts w:hint="eastAsia" w:ascii="仿宋_GB2312" w:eastAsia="仿宋_GB2312"/>
          <w:color w:val="auto"/>
          <w:sz w:val="32"/>
          <w:szCs w:val="32"/>
          <w:lang w:val="en-US" w:eastAsia="zh-CN"/>
        </w:rPr>
        <w:t>的通知》（国办公开办函</w:t>
      </w:r>
      <w:r>
        <w:rPr>
          <w:rFonts w:hint="eastAsia" w:ascii="仿宋_GB2312" w:hAnsi="仿宋_GB2312" w:eastAsia="仿宋_GB2312" w:cs="仿宋_GB2312"/>
          <w:color w:val="auto"/>
          <w:sz w:val="32"/>
          <w:szCs w:val="32"/>
          <w:lang w:val="en-US" w:eastAsia="zh-CN"/>
        </w:rPr>
        <w:t>〔2021</w:t>
      </w:r>
      <w:r>
        <w:rPr>
          <w:rFonts w:hint="eastAsia" w:ascii="方正书宋_GBK" w:hAnsi="方正书宋_GBK" w:eastAsia="方正书宋_GBK" w:cs="方正书宋_GBK"/>
          <w:color w:val="auto"/>
          <w:sz w:val="32"/>
          <w:szCs w:val="32"/>
          <w:lang w:val="en-US" w:eastAsia="zh-CN"/>
        </w:rPr>
        <w:t>〕</w:t>
      </w:r>
      <w:r>
        <w:rPr>
          <w:rFonts w:hint="eastAsia" w:ascii="仿宋_GB2312" w:hAnsi="仿宋_GB2312" w:eastAsia="仿宋_GB2312" w:cs="仿宋_GB2312"/>
          <w:color w:val="auto"/>
          <w:sz w:val="32"/>
          <w:szCs w:val="32"/>
          <w:lang w:val="en-US" w:eastAsia="zh-CN"/>
        </w:rPr>
        <w:t>30号</w:t>
      </w:r>
      <w:r>
        <w:rPr>
          <w:rFonts w:hint="eastAsia" w:ascii="仿宋_GB2312" w:eastAsia="仿宋_GB2312"/>
          <w:color w:val="auto"/>
          <w:sz w:val="32"/>
          <w:szCs w:val="32"/>
          <w:lang w:val="en-US" w:eastAsia="zh-CN"/>
        </w:rPr>
        <w:t>）要求</w:t>
      </w:r>
      <w:r>
        <w:rPr>
          <w:rFonts w:hint="eastAsia" w:ascii="仿宋_GB2312" w:hAnsi="仿宋_GB2312" w:eastAsia="仿宋_GB2312" w:cs="仿宋_GB2312"/>
          <w:color w:val="auto"/>
          <w:sz w:val="32"/>
          <w:szCs w:val="32"/>
          <w:lang w:eastAsia="zh-CN"/>
        </w:rPr>
        <w:t>，现发布《自治区统计局</w:t>
      </w:r>
      <w:r>
        <w:rPr>
          <w:rFonts w:hint="eastAsia" w:ascii="仿宋_GB2312" w:hAnsi="仿宋_GB2312" w:eastAsia="仿宋_GB2312" w:cs="仿宋_GB2312"/>
          <w:color w:val="auto"/>
          <w:sz w:val="32"/>
          <w:szCs w:val="32"/>
          <w:lang w:val="en-US" w:eastAsia="zh-CN"/>
        </w:rPr>
        <w:t>2022年政府信息公开工作年度报告</w:t>
      </w:r>
      <w:r>
        <w:rPr>
          <w:rFonts w:hint="eastAsia" w:ascii="仿宋_GB2312" w:hAnsi="仿宋_GB2312" w:eastAsia="仿宋_GB2312" w:cs="仿宋_GB2312"/>
          <w:color w:val="auto"/>
          <w:sz w:val="32"/>
          <w:szCs w:val="32"/>
          <w:lang w:eastAsia="zh-CN"/>
        </w:rPr>
        <w:t>》，本报告统计数据从</w:t>
      </w:r>
      <w:r>
        <w:rPr>
          <w:rFonts w:hint="eastAsia" w:ascii="仿宋_GB2312" w:hAnsi="仿宋_GB2312" w:eastAsia="仿宋_GB2312" w:cs="仿宋_GB2312"/>
          <w:color w:val="auto"/>
          <w:sz w:val="32"/>
          <w:szCs w:val="32"/>
          <w:lang w:val="en-US" w:eastAsia="zh-CN"/>
        </w:rPr>
        <w:t>2022年1月1日至12月31日</w:t>
      </w:r>
      <w:r>
        <w:rPr>
          <w:rFonts w:hint="eastAsia" w:ascii="仿宋_GB2312" w:hAnsi="仿宋_GB2312" w:eastAsia="仿宋_GB2312" w:cs="仿宋_GB2312"/>
          <w:color w:val="auto"/>
          <w:sz w:val="32"/>
          <w:szCs w:val="32"/>
        </w:rPr>
        <w:t>。</w:t>
      </w:r>
    </w:p>
    <w:p>
      <w:pPr>
        <w:widowControl/>
        <w:numPr>
          <w:ilvl w:val="0"/>
          <w:numId w:val="0"/>
        </w:numPr>
        <w:spacing w:line="560" w:lineRule="exact"/>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一、</w:t>
      </w:r>
      <w:r>
        <w:rPr>
          <w:rFonts w:hint="eastAsia" w:ascii="黑体" w:hAnsi="黑体" w:eastAsia="黑体" w:cs="黑体"/>
          <w:color w:val="auto"/>
          <w:sz w:val="32"/>
          <w:szCs w:val="32"/>
        </w:rPr>
        <w:t>总体情况</w:t>
      </w:r>
    </w:p>
    <w:p>
      <w:pPr>
        <w:spacing w:line="560" w:lineRule="exact"/>
        <w:ind w:firstLine="642" w:firstLineChars="200"/>
        <w:rPr>
          <w:rFonts w:hint="eastAsia" w:ascii="楷体" w:hAnsi="楷体" w:eastAsia="楷体" w:cs="楷体"/>
          <w:b/>
          <w:bCs/>
          <w:color w:val="auto"/>
          <w:sz w:val="32"/>
          <w:szCs w:val="32"/>
          <w:lang w:eastAsia="zh-CN"/>
        </w:rPr>
      </w:pPr>
      <w:r>
        <w:rPr>
          <w:rFonts w:hint="eastAsia" w:ascii="楷体" w:hAnsi="楷体" w:eastAsia="楷体" w:cs="楷体"/>
          <w:b/>
          <w:bCs/>
          <w:color w:val="auto"/>
          <w:sz w:val="32"/>
          <w:szCs w:val="32"/>
        </w:rPr>
        <w:t>（一）主动公开</w:t>
      </w:r>
      <w:r>
        <w:rPr>
          <w:rFonts w:hint="eastAsia" w:ascii="楷体" w:hAnsi="楷体" w:eastAsia="楷体" w:cs="楷体"/>
          <w:b/>
          <w:bCs/>
          <w:color w:val="auto"/>
          <w:sz w:val="32"/>
          <w:szCs w:val="32"/>
          <w:lang w:eastAsia="zh-CN"/>
        </w:rPr>
        <w:t>情况</w:t>
      </w:r>
    </w:p>
    <w:p>
      <w:pPr>
        <w:spacing w:line="560" w:lineRule="exact"/>
        <w:ind w:firstLine="640" w:firstLineChars="200"/>
        <w:rPr>
          <w:rFonts w:hint="eastAsia" w:ascii="仿宋_GB2312" w:hAnsi="宋体" w:eastAsia="仿宋_GB2312" w:cs="仿宋_GB2312"/>
          <w:color w:val="auto"/>
          <w:sz w:val="32"/>
          <w:szCs w:val="32"/>
        </w:rPr>
      </w:pPr>
      <w:r>
        <w:rPr>
          <w:rFonts w:hint="eastAsia" w:ascii="仿宋_GB2312" w:hAnsi="宋体" w:eastAsia="仿宋_GB2312" w:cs="仿宋_GB2312"/>
          <w:color w:val="auto"/>
          <w:sz w:val="32"/>
          <w:szCs w:val="32"/>
        </w:rPr>
        <w:t>及时发布全区经济社会发展统计信息，全面客观准确反映</w:t>
      </w:r>
      <w:r>
        <w:rPr>
          <w:rFonts w:hint="eastAsia" w:ascii="仿宋_GB2312" w:hAnsi="宋体" w:eastAsia="仿宋_GB2312" w:cs="仿宋_GB2312"/>
          <w:color w:val="auto"/>
          <w:sz w:val="32"/>
          <w:szCs w:val="32"/>
          <w:lang w:eastAsia="zh-CN"/>
        </w:rPr>
        <w:t>全区</w:t>
      </w:r>
      <w:r>
        <w:rPr>
          <w:rFonts w:hint="eastAsia" w:ascii="仿宋_GB2312" w:hAnsi="宋体" w:eastAsia="仿宋_GB2312" w:cs="仿宋_GB2312"/>
          <w:color w:val="auto"/>
          <w:sz w:val="32"/>
          <w:szCs w:val="32"/>
        </w:rPr>
        <w:t>经济发展的特点亮点，加大数据解读力度，积极引导社会预期。</w:t>
      </w:r>
      <w:r>
        <w:rPr>
          <w:rFonts w:hint="eastAsia" w:ascii="CESI仿宋-GB2312" w:hAnsi="CESI仿宋-GB2312" w:eastAsia="CESI仿宋-GB2312" w:cs="CESI仿宋-GB2312"/>
          <w:sz w:val="32"/>
          <w:szCs w:val="32"/>
        </w:rPr>
        <w:t>充分发挥统计专业优势</w:t>
      </w:r>
      <w:r>
        <w:rPr>
          <w:rFonts w:hint="eastAsia" w:ascii="CESI仿宋-GB2312" w:hAnsi="CESI仿宋-GB2312" w:eastAsia="CESI仿宋-GB2312" w:cs="CESI仿宋-GB2312"/>
          <w:sz w:val="32"/>
          <w:szCs w:val="32"/>
          <w:lang w:eastAsia="zh-CN"/>
        </w:rPr>
        <w:t>撰写分析报告</w:t>
      </w:r>
      <w:r>
        <w:rPr>
          <w:rFonts w:hint="eastAsia" w:ascii="CESI仿宋-GB2312" w:hAnsi="CESI仿宋-GB2312" w:eastAsia="CESI仿宋-GB2312" w:cs="CESI仿宋-GB2312"/>
          <w:sz w:val="32"/>
          <w:szCs w:val="32"/>
        </w:rPr>
        <w:t>，</w:t>
      </w:r>
      <w:r>
        <w:rPr>
          <w:rFonts w:hint="eastAsia" w:ascii="仿宋_GB2312" w:hAnsi="宋体" w:eastAsia="仿宋_GB2312" w:cs="仿宋_GB2312"/>
          <w:color w:val="auto"/>
          <w:sz w:val="32"/>
          <w:szCs w:val="32"/>
        </w:rPr>
        <w:t>通过翔实的数据和生动的图表，展现近五年</w:t>
      </w:r>
      <w:r>
        <w:rPr>
          <w:rFonts w:hint="eastAsia" w:ascii="仿宋_GB2312" w:hAnsi="宋体" w:eastAsia="仿宋_GB2312" w:cs="仿宋_GB2312"/>
          <w:color w:val="auto"/>
          <w:sz w:val="32"/>
          <w:szCs w:val="32"/>
          <w:lang w:eastAsia="zh-CN"/>
        </w:rPr>
        <w:t>全</w:t>
      </w:r>
      <w:r>
        <w:rPr>
          <w:rFonts w:hint="eastAsia" w:ascii="仿宋_GB2312" w:hAnsi="宋体" w:eastAsia="仿宋_GB2312" w:cs="仿宋_GB2312"/>
          <w:color w:val="auto"/>
          <w:sz w:val="32"/>
          <w:szCs w:val="32"/>
        </w:rPr>
        <w:t>区经济建设和社会发展取得的辉煌成就和巨大变化，喜迎自治区第十三次党代会胜利召开</w:t>
      </w:r>
      <w:r>
        <w:rPr>
          <w:rFonts w:hint="eastAsia" w:ascii="仿宋_GB2312" w:hAnsi="宋体" w:eastAsia="仿宋_GB2312" w:cs="仿宋_GB2312"/>
          <w:color w:val="auto"/>
          <w:sz w:val="32"/>
          <w:szCs w:val="32"/>
          <w:lang w:eastAsia="zh-CN"/>
        </w:rPr>
        <w:t>。</w:t>
      </w:r>
      <w:r>
        <w:rPr>
          <w:rFonts w:hint="eastAsia" w:ascii="仿宋_GB2312" w:hAnsi="宋体" w:eastAsia="仿宋_GB2312" w:cs="仿宋_GB2312"/>
          <w:color w:val="auto"/>
          <w:sz w:val="32"/>
          <w:szCs w:val="32"/>
        </w:rPr>
        <w:t>联合宁夏广播电视台推出15期系列节目《明明说—数说这五年》</w:t>
      </w:r>
      <w:r>
        <w:rPr>
          <w:rFonts w:hint="eastAsia" w:ascii="仿宋_GB2312" w:hAnsi="宋体" w:eastAsia="仿宋_GB2312" w:cs="仿宋_GB2312"/>
          <w:color w:val="auto"/>
          <w:sz w:val="32"/>
          <w:szCs w:val="32"/>
          <w:lang w:eastAsia="zh-CN"/>
        </w:rPr>
        <w:t>，</w:t>
      </w:r>
      <w:r>
        <w:rPr>
          <w:rFonts w:hint="eastAsia" w:ascii="CESI仿宋-GB2312" w:hAnsi="CESI仿宋-GB2312" w:eastAsia="CESI仿宋-GB2312" w:cs="CESI仿宋-GB2312"/>
          <w:color w:val="auto"/>
          <w:sz w:val="32"/>
          <w:szCs w:val="32"/>
          <w:lang w:val="en-US" w:eastAsia="zh-CN"/>
        </w:rPr>
        <w:t>对</w:t>
      </w:r>
      <w:r>
        <w:rPr>
          <w:rFonts w:hint="eastAsia" w:ascii="CESI仿宋-GB2312" w:hAnsi="CESI仿宋-GB2312" w:eastAsia="CESI仿宋-GB2312" w:cs="CESI仿宋-GB2312"/>
          <w:color w:val="auto"/>
          <w:sz w:val="32"/>
          <w:szCs w:val="32"/>
        </w:rPr>
        <w:t>分析报告内容进行了系列报道，</w:t>
      </w:r>
      <w:r>
        <w:rPr>
          <w:rFonts w:hint="eastAsia" w:ascii="仿宋_GB2312" w:hAnsi="宋体" w:eastAsia="仿宋_GB2312" w:cs="仿宋_GB2312"/>
          <w:color w:val="auto"/>
          <w:sz w:val="32"/>
          <w:szCs w:val="32"/>
        </w:rPr>
        <w:t>反响热烈</w:t>
      </w:r>
      <w:r>
        <w:rPr>
          <w:rFonts w:hint="eastAsia" w:ascii="仿宋_GB2312" w:hAnsi="宋体" w:eastAsia="仿宋_GB2312" w:cs="仿宋_GB2312"/>
          <w:color w:val="auto"/>
          <w:sz w:val="32"/>
          <w:szCs w:val="32"/>
          <w:lang w:eastAsia="zh-CN"/>
        </w:rPr>
        <w:t>，</w:t>
      </w:r>
      <w:r>
        <w:rPr>
          <w:rFonts w:hint="eastAsia" w:ascii="CESI仿宋-GB2312" w:hAnsi="CESI仿宋-GB2312" w:eastAsia="CESI仿宋-GB2312" w:cs="CESI仿宋-GB2312"/>
          <w:color w:val="auto"/>
          <w:sz w:val="32"/>
          <w:szCs w:val="32"/>
        </w:rPr>
        <w:t>取得了良好宣传效果。</w:t>
      </w:r>
      <w:r>
        <w:rPr>
          <w:rFonts w:hint="eastAsia" w:ascii="仿宋_GB2312" w:hAnsi="宋体" w:eastAsia="仿宋_GB2312" w:cs="仿宋_GB2312"/>
          <w:color w:val="auto"/>
          <w:sz w:val="32"/>
          <w:szCs w:val="32"/>
        </w:rPr>
        <w:t>发布</w:t>
      </w:r>
      <w:r>
        <w:rPr>
          <w:rFonts w:hint="eastAsia" w:ascii="仿宋_GB2312" w:hAnsi="宋体" w:eastAsia="仿宋_GB2312" w:cs="仿宋_GB2312"/>
          <w:color w:val="auto"/>
          <w:sz w:val="32"/>
          <w:szCs w:val="32"/>
          <w:lang w:eastAsia="zh-CN"/>
        </w:rPr>
        <w:t>《</w:t>
      </w:r>
      <w:r>
        <w:rPr>
          <w:rFonts w:hint="eastAsia" w:ascii="仿宋_GB2312" w:hAnsi="宋体" w:eastAsia="仿宋_GB2312" w:cs="仿宋_GB2312"/>
          <w:color w:val="auto"/>
          <w:sz w:val="32"/>
          <w:szCs w:val="32"/>
        </w:rPr>
        <w:t>宁夏回族自治区2021年国民经济和社会发展统计公报</w:t>
      </w:r>
      <w:r>
        <w:rPr>
          <w:rFonts w:hint="eastAsia" w:ascii="仿宋_GB2312" w:hAnsi="宋体" w:eastAsia="仿宋_GB2312" w:cs="仿宋_GB2312"/>
          <w:color w:val="auto"/>
          <w:sz w:val="32"/>
          <w:szCs w:val="32"/>
          <w:lang w:eastAsia="zh-CN"/>
        </w:rPr>
        <w:t>》《2021年宁夏科技统计公报》</w:t>
      </w:r>
      <w:r>
        <w:rPr>
          <w:rFonts w:hint="eastAsia" w:ascii="仿宋_GB2312" w:hAnsi="宋体" w:eastAsia="仿宋_GB2312" w:cs="仿宋_GB2312"/>
          <w:color w:val="auto"/>
          <w:sz w:val="32"/>
          <w:szCs w:val="32"/>
        </w:rPr>
        <w:t>，</w:t>
      </w:r>
      <w:r>
        <w:rPr>
          <w:rFonts w:hint="eastAsia" w:ascii="CESI仿宋-GB2312" w:hAnsi="CESI仿宋-GB2312" w:eastAsia="CESI仿宋-GB2312" w:cs="CESI仿宋-GB2312"/>
          <w:color w:val="auto"/>
          <w:sz w:val="32"/>
          <w:szCs w:val="32"/>
        </w:rPr>
        <w:t>系统地向社会展现全区经济社会发展成就</w:t>
      </w:r>
      <w:r>
        <w:rPr>
          <w:rFonts w:hint="eastAsia" w:ascii="CESI仿宋-GB2312" w:hAnsi="CESI仿宋-GB2312" w:eastAsia="CESI仿宋-GB2312" w:cs="CESI仿宋-GB2312"/>
          <w:color w:val="auto"/>
          <w:sz w:val="32"/>
          <w:szCs w:val="32"/>
          <w:lang w:eastAsia="zh-CN"/>
        </w:rPr>
        <w:t>，</w:t>
      </w:r>
      <w:r>
        <w:rPr>
          <w:rFonts w:hint="eastAsia" w:ascii="仿宋_GB2312" w:hAnsi="宋体" w:eastAsia="仿宋_GB2312" w:cs="仿宋_GB2312"/>
          <w:color w:val="auto"/>
          <w:sz w:val="32"/>
          <w:szCs w:val="32"/>
        </w:rPr>
        <w:t>不断满足党政领导、部门机构和社会公众的需求。将统计开放日打造成展示政府统计形象的重要品牌，</w:t>
      </w:r>
      <w:r>
        <w:rPr>
          <w:rFonts w:hint="eastAsia" w:ascii="仿宋_GB2312" w:hAnsi="宋体" w:eastAsia="仿宋_GB2312" w:cs="仿宋_GB2312"/>
          <w:color w:val="auto"/>
          <w:sz w:val="32"/>
          <w:szCs w:val="32"/>
          <w:lang w:eastAsia="zh-CN"/>
        </w:rPr>
        <w:t>以</w:t>
      </w:r>
      <w:r>
        <w:rPr>
          <w:rFonts w:hint="eastAsia" w:ascii="仿宋_GB2312" w:hAnsi="宋体" w:eastAsia="仿宋_GB2312" w:cs="仿宋_GB2312"/>
          <w:color w:val="auto"/>
          <w:sz w:val="32"/>
          <w:szCs w:val="32"/>
        </w:rPr>
        <w:t>“数说新时代  奋进新征程”为主题成功举办宁夏第十三届</w:t>
      </w:r>
      <w:r>
        <w:rPr>
          <w:rFonts w:hint="eastAsia" w:ascii="仿宋_GB2312" w:hAnsi="宋体" w:eastAsia="仿宋_GB2312" w:cs="仿宋_GB2312"/>
          <w:color w:val="auto"/>
          <w:sz w:val="32"/>
          <w:szCs w:val="32"/>
          <w:lang w:eastAsia="zh-CN"/>
        </w:rPr>
        <w:t>“</w:t>
      </w:r>
      <w:r>
        <w:rPr>
          <w:rFonts w:hint="eastAsia" w:ascii="仿宋_GB2312" w:hAnsi="宋体" w:eastAsia="仿宋_GB2312" w:cs="仿宋_GB2312"/>
          <w:color w:val="auto"/>
          <w:sz w:val="32"/>
          <w:szCs w:val="32"/>
        </w:rPr>
        <w:t>中国统计开放日</w:t>
      </w:r>
      <w:r>
        <w:rPr>
          <w:rFonts w:hint="eastAsia" w:ascii="仿宋_GB2312" w:hAnsi="宋体" w:eastAsia="仿宋_GB2312" w:cs="仿宋_GB2312"/>
          <w:color w:val="auto"/>
          <w:sz w:val="32"/>
          <w:szCs w:val="32"/>
          <w:lang w:eastAsia="zh-CN"/>
        </w:rPr>
        <w:t>”</w:t>
      </w:r>
      <w:r>
        <w:rPr>
          <w:rFonts w:hint="eastAsia" w:ascii="仿宋_GB2312" w:hAnsi="宋体" w:eastAsia="仿宋_GB2312" w:cs="仿宋_GB2312"/>
          <w:color w:val="auto"/>
          <w:sz w:val="32"/>
          <w:szCs w:val="32"/>
        </w:rPr>
        <w:t>活动，增进了社会各界对统计工作的理解和支持。</w:t>
      </w:r>
    </w:p>
    <w:p>
      <w:pPr>
        <w:spacing w:line="560" w:lineRule="exact"/>
        <w:ind w:firstLine="642" w:firstLineChars="200"/>
        <w:rPr>
          <w:rFonts w:hint="eastAsia" w:ascii="楷体" w:hAnsi="楷体" w:eastAsia="楷体" w:cs="楷体"/>
          <w:b/>
          <w:bCs/>
          <w:color w:val="auto"/>
          <w:sz w:val="32"/>
          <w:szCs w:val="32"/>
          <w:lang w:eastAsia="zh-CN"/>
        </w:rPr>
      </w:pPr>
      <w:r>
        <w:rPr>
          <w:rFonts w:hint="eastAsia" w:ascii="楷体" w:hAnsi="楷体" w:eastAsia="楷体" w:cs="楷体"/>
          <w:b/>
          <w:bCs/>
          <w:color w:val="auto"/>
          <w:sz w:val="32"/>
          <w:szCs w:val="32"/>
          <w:lang w:eastAsia="zh-CN"/>
        </w:rPr>
        <w:t>（</w:t>
      </w:r>
      <w:r>
        <w:rPr>
          <w:rFonts w:hint="eastAsia" w:ascii="楷体" w:hAnsi="楷体" w:eastAsia="楷体" w:cs="楷体"/>
          <w:b/>
          <w:bCs/>
          <w:color w:val="auto"/>
          <w:sz w:val="32"/>
          <w:szCs w:val="32"/>
        </w:rPr>
        <w:t>二</w:t>
      </w:r>
      <w:r>
        <w:rPr>
          <w:rFonts w:hint="eastAsia" w:ascii="楷体" w:hAnsi="楷体" w:eastAsia="楷体" w:cs="楷体"/>
          <w:b/>
          <w:bCs/>
          <w:color w:val="auto"/>
          <w:sz w:val="32"/>
          <w:szCs w:val="32"/>
          <w:lang w:eastAsia="zh-CN"/>
        </w:rPr>
        <w:t>）</w:t>
      </w:r>
      <w:r>
        <w:rPr>
          <w:rFonts w:hint="eastAsia" w:ascii="楷体" w:hAnsi="楷体" w:eastAsia="楷体" w:cs="楷体"/>
          <w:b/>
          <w:bCs/>
          <w:color w:val="auto"/>
          <w:sz w:val="32"/>
          <w:szCs w:val="32"/>
        </w:rPr>
        <w:t>依申请公开</w:t>
      </w:r>
      <w:r>
        <w:rPr>
          <w:rFonts w:hint="eastAsia" w:ascii="楷体" w:hAnsi="楷体" w:eastAsia="楷体" w:cs="楷体"/>
          <w:b/>
          <w:bCs/>
          <w:color w:val="auto"/>
          <w:sz w:val="32"/>
          <w:szCs w:val="32"/>
          <w:lang w:eastAsia="zh-CN"/>
        </w:rPr>
        <w:t>情况</w:t>
      </w:r>
    </w:p>
    <w:p>
      <w:pPr>
        <w:spacing w:line="560" w:lineRule="exact"/>
        <w:ind w:firstLine="640" w:firstLineChars="200"/>
        <w:rPr>
          <w:rFonts w:hint="eastAsia" w:ascii="仿宋_GB2312" w:hAnsi="方正仿宋_GBK" w:eastAsia="仿宋_GB2312" w:cs="方正仿宋_GBK"/>
          <w:color w:val="auto"/>
          <w:sz w:val="32"/>
          <w:szCs w:val="32"/>
          <w:lang w:val="en-US" w:eastAsia="zh-CN"/>
        </w:rPr>
      </w:pPr>
      <w:r>
        <w:rPr>
          <w:rFonts w:hint="eastAsia" w:ascii="仿宋_GB2312" w:hAnsi="方正仿宋_GBK" w:eastAsia="仿宋_GB2312" w:cs="方正仿宋_GBK"/>
          <w:color w:val="auto"/>
          <w:sz w:val="32"/>
          <w:szCs w:val="32"/>
          <w:lang w:val="en-US" w:eastAsia="zh-CN"/>
        </w:rPr>
        <w:t>坚持“审慎公开、依法公开”原则，不断强化对依申请公开答复的审核把关，做到依申请公开办理全流程线上办理，提升政府信息公开申请的办理时效。2022年，累计办理依申请政府信息公开事项44件，未发生因依申请公开引起的行政复议或行政诉讼情况。</w:t>
      </w:r>
    </w:p>
    <w:p>
      <w:pPr>
        <w:spacing w:line="560" w:lineRule="exact"/>
        <w:ind w:firstLine="642" w:firstLineChars="200"/>
        <w:rPr>
          <w:rFonts w:hint="eastAsia" w:ascii="楷体" w:hAnsi="楷体" w:eastAsia="楷体" w:cs="楷体"/>
          <w:b/>
          <w:bCs/>
          <w:color w:val="auto"/>
          <w:sz w:val="32"/>
          <w:szCs w:val="32"/>
          <w:lang w:eastAsia="zh-CN"/>
        </w:rPr>
      </w:pPr>
      <w:r>
        <w:rPr>
          <w:rFonts w:hint="eastAsia" w:ascii="楷体" w:hAnsi="楷体" w:eastAsia="楷体" w:cs="楷体"/>
          <w:b/>
          <w:bCs/>
          <w:color w:val="auto"/>
          <w:sz w:val="32"/>
          <w:szCs w:val="32"/>
        </w:rPr>
        <w:t>（三）政府信息管理</w:t>
      </w:r>
      <w:r>
        <w:rPr>
          <w:rFonts w:hint="eastAsia" w:ascii="楷体" w:hAnsi="楷体" w:eastAsia="楷体" w:cs="楷体"/>
          <w:b/>
          <w:bCs/>
          <w:color w:val="auto"/>
          <w:sz w:val="32"/>
          <w:szCs w:val="32"/>
          <w:lang w:eastAsia="zh-CN"/>
        </w:rPr>
        <w:t>情况</w:t>
      </w:r>
    </w:p>
    <w:p>
      <w:pPr>
        <w:spacing w:line="560" w:lineRule="exact"/>
        <w:ind w:firstLine="640" w:firstLineChars="200"/>
        <w:rPr>
          <w:rFonts w:hint="eastAsia" w:ascii="仿宋_GB2312" w:hAnsi="宋体" w:eastAsia="仿宋_GB2312" w:cs="宋体"/>
          <w:b w:val="0"/>
          <w:bCs w:val="0"/>
          <w:color w:val="auto"/>
          <w:kern w:val="0"/>
          <w:sz w:val="32"/>
          <w:szCs w:val="32"/>
          <w:shd w:val="clear" w:color="auto" w:fill="FFFFFF"/>
          <w:lang w:eastAsia="zh-CN"/>
        </w:rPr>
      </w:pPr>
      <w:r>
        <w:rPr>
          <w:rFonts w:hint="eastAsia" w:ascii="仿宋_GB2312" w:eastAsia="仿宋_GB2312"/>
          <w:color w:val="auto"/>
          <w:sz w:val="32"/>
          <w:szCs w:val="32"/>
          <w:lang w:val="en-US" w:eastAsia="zh-CN"/>
        </w:rPr>
        <w:t>严格执行信息发布“三审三校”和保密审查制度，认真做好政务公开、信息采编工作，</w:t>
      </w:r>
      <w:r>
        <w:rPr>
          <w:rFonts w:hint="eastAsia" w:ascii="仿宋_GB2312" w:hAnsi="宋体" w:eastAsia="仿宋_GB2312" w:cs="宋体"/>
          <w:b w:val="0"/>
          <w:bCs w:val="0"/>
          <w:color w:val="auto"/>
          <w:kern w:val="0"/>
          <w:sz w:val="32"/>
          <w:szCs w:val="32"/>
          <w:shd w:val="clear" w:color="auto" w:fill="FFFFFF"/>
          <w:lang w:eastAsia="zh-CN"/>
        </w:rPr>
        <w:t>及时调整更新政府信息主动公开目录。</w:t>
      </w:r>
      <w:r>
        <w:rPr>
          <w:rFonts w:hint="eastAsia" w:ascii="仿宋_GB2312" w:hAnsi="仿宋_GB2312" w:eastAsia="仿宋_GB2312" w:cs="仿宋_GB2312"/>
          <w:color w:val="auto"/>
          <w:sz w:val="32"/>
          <w:szCs w:val="32"/>
          <w:lang w:val="en-US" w:eastAsia="zh-CN"/>
        </w:rPr>
        <w:t>2022</w:t>
      </w:r>
      <w:r>
        <w:rPr>
          <w:rFonts w:hint="eastAsia" w:ascii="仿宋_GB2312" w:hAnsi="仿宋_GB2312" w:eastAsia="仿宋_GB2312" w:cs="仿宋_GB2312"/>
          <w:color w:val="auto"/>
          <w:sz w:val="32"/>
          <w:szCs w:val="32"/>
        </w:rPr>
        <w:t>年在门户网站发布政务动态信息244条，</w:t>
      </w:r>
      <w:r>
        <w:rPr>
          <w:rFonts w:hint="eastAsia" w:ascii="仿宋_GB2312" w:hAnsi="宋体" w:eastAsia="仿宋_GB2312" w:cs="宋体"/>
          <w:b w:val="0"/>
          <w:bCs w:val="0"/>
          <w:color w:val="auto"/>
          <w:kern w:val="0"/>
          <w:sz w:val="32"/>
          <w:szCs w:val="32"/>
          <w:shd w:val="clear" w:color="auto" w:fill="FFFFFF"/>
          <w:lang w:eastAsia="zh-CN"/>
        </w:rPr>
        <w:t>更新政府信息公开目录信息270篇，发布</w:t>
      </w:r>
      <w:r>
        <w:rPr>
          <w:rFonts w:hint="eastAsia" w:ascii="仿宋_GB2312" w:hAnsi="仿宋_GB2312" w:eastAsia="仿宋_GB2312" w:cs="仿宋_GB2312"/>
          <w:color w:val="auto"/>
          <w:sz w:val="32"/>
          <w:szCs w:val="32"/>
        </w:rPr>
        <w:t>规范性文件</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篇，政策解读及图解</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篇</w:t>
      </w:r>
      <w:r>
        <w:rPr>
          <w:rFonts w:hint="eastAsia" w:ascii="仿宋_GB2312" w:hAnsi="仿宋_GB2312" w:eastAsia="仿宋_GB2312" w:cs="仿宋_GB2312"/>
          <w:color w:val="auto"/>
          <w:sz w:val="32"/>
          <w:szCs w:val="32"/>
          <w:lang w:eastAsia="zh-CN"/>
        </w:rPr>
        <w:t>。</w:t>
      </w:r>
    </w:p>
    <w:p>
      <w:pPr>
        <w:spacing w:line="560" w:lineRule="exact"/>
        <w:ind w:firstLine="642" w:firstLineChars="200"/>
        <w:rPr>
          <w:rFonts w:hint="eastAsia" w:ascii="楷体" w:hAnsi="楷体" w:eastAsia="楷体" w:cs="楷体"/>
          <w:b/>
          <w:bCs/>
          <w:color w:val="auto"/>
          <w:sz w:val="32"/>
          <w:szCs w:val="32"/>
          <w:lang w:eastAsia="zh-CN"/>
        </w:rPr>
      </w:pPr>
      <w:r>
        <w:rPr>
          <w:rFonts w:hint="eastAsia" w:ascii="楷体" w:hAnsi="楷体" w:eastAsia="楷体" w:cs="楷体"/>
          <w:b/>
          <w:bCs/>
          <w:color w:val="auto"/>
          <w:sz w:val="32"/>
          <w:szCs w:val="32"/>
        </w:rPr>
        <w:t>（四）平台建设</w:t>
      </w:r>
      <w:r>
        <w:rPr>
          <w:rFonts w:hint="eastAsia" w:ascii="楷体" w:hAnsi="楷体" w:eastAsia="楷体" w:cs="楷体"/>
          <w:b/>
          <w:bCs/>
          <w:color w:val="auto"/>
          <w:sz w:val="32"/>
          <w:szCs w:val="32"/>
          <w:lang w:eastAsia="zh-CN"/>
        </w:rPr>
        <w:t>情况</w:t>
      </w:r>
    </w:p>
    <w:p>
      <w:pPr>
        <w:spacing w:line="560" w:lineRule="exact"/>
        <w:ind w:firstLine="640" w:firstLineChars="200"/>
        <w:rPr>
          <w:rFonts w:hint="eastAsia" w:ascii="楷体" w:hAnsi="楷体" w:eastAsia="楷体" w:cs="楷体"/>
          <w:b/>
          <w:bCs/>
          <w:color w:val="auto"/>
          <w:sz w:val="32"/>
          <w:szCs w:val="32"/>
        </w:rPr>
      </w:pPr>
      <w:r>
        <w:rPr>
          <w:rFonts w:hint="eastAsia" w:ascii="仿宋_GB2312" w:hAnsi="宋体" w:eastAsia="仿宋_GB2312" w:cs="宋体"/>
          <w:b w:val="0"/>
          <w:bCs w:val="0"/>
          <w:color w:val="auto"/>
          <w:kern w:val="0"/>
          <w:sz w:val="32"/>
          <w:szCs w:val="32"/>
          <w:shd w:val="clear" w:color="auto" w:fill="FFFFFF"/>
          <w:lang w:eastAsia="zh-CN"/>
        </w:rPr>
        <w:t>持续提升宁夏统计微信公众号影响力，加大内容、渠道、形式和手段创新，进一步增强新媒体宣传引导工作实效。每月专门为数据设计图解，满足不同层次用户对数据的需求。</w:t>
      </w:r>
      <w:r>
        <w:rPr>
          <w:rFonts w:hint="eastAsia" w:ascii="仿宋_GB2312" w:hAnsi="宋体" w:eastAsia="仿宋_GB2312" w:cs="宋体"/>
          <w:b w:val="0"/>
          <w:bCs w:val="0"/>
          <w:color w:val="auto"/>
          <w:kern w:val="0"/>
          <w:sz w:val="32"/>
          <w:szCs w:val="32"/>
          <w:shd w:val="clear" w:color="auto" w:fill="FFFFFF"/>
          <w:lang w:val="en-US" w:eastAsia="zh-CN"/>
        </w:rPr>
        <w:t>2022</w:t>
      </w:r>
      <w:r>
        <w:rPr>
          <w:rFonts w:hint="eastAsia" w:ascii="仿宋_GB2312" w:hAnsi="宋体" w:eastAsia="仿宋_GB2312" w:cs="宋体"/>
          <w:b w:val="0"/>
          <w:bCs w:val="0"/>
          <w:color w:val="auto"/>
          <w:kern w:val="0"/>
          <w:sz w:val="32"/>
          <w:szCs w:val="32"/>
          <w:shd w:val="clear" w:color="auto" w:fill="FFFFFF"/>
          <w:lang w:eastAsia="zh-CN"/>
        </w:rPr>
        <w:t>年，宁夏统计微信平台发布各类图文信息99篇，关注量达到6241人。持续更新宁夏宏观经济基础信息共享库，累计加载数据340多万笔，畅通部门间数据交流渠道，实现统计信息资源共享。</w:t>
      </w:r>
    </w:p>
    <w:p>
      <w:pPr>
        <w:widowControl/>
        <w:spacing w:line="560" w:lineRule="exact"/>
        <w:ind w:firstLine="642" w:firstLineChars="200"/>
        <w:jc w:val="left"/>
        <w:rPr>
          <w:rFonts w:hint="eastAsia" w:ascii="仿宋_GB2312" w:hAnsi="仿宋_GB2312" w:eastAsia="仿宋_GB2312" w:cs="仿宋_GB2312"/>
          <w:color w:val="auto"/>
          <w:sz w:val="32"/>
          <w:szCs w:val="32"/>
          <w:lang w:eastAsia="zh-CN"/>
        </w:rPr>
      </w:pPr>
      <w:r>
        <w:rPr>
          <w:rFonts w:hint="eastAsia" w:ascii="楷体" w:hAnsi="楷体" w:eastAsia="楷体" w:cs="楷体"/>
          <w:b/>
          <w:bCs/>
          <w:color w:val="auto"/>
          <w:sz w:val="32"/>
          <w:szCs w:val="32"/>
        </w:rPr>
        <w:t>（五）监督保障</w:t>
      </w:r>
      <w:r>
        <w:rPr>
          <w:rFonts w:hint="eastAsia" w:ascii="楷体" w:hAnsi="楷体" w:eastAsia="楷体" w:cs="楷体"/>
          <w:b/>
          <w:bCs/>
          <w:color w:val="auto"/>
          <w:sz w:val="32"/>
          <w:szCs w:val="32"/>
          <w:lang w:eastAsia="zh-CN"/>
        </w:rPr>
        <w:t>情况</w:t>
      </w:r>
    </w:p>
    <w:p>
      <w:pPr>
        <w:widowControl/>
        <w:spacing w:line="560" w:lineRule="exact"/>
        <w:ind w:firstLine="640" w:firstLineChars="200"/>
        <w:jc w:val="left"/>
        <w:rPr>
          <w:rFonts w:hint="eastAsia" w:ascii="仿宋_GB2312" w:hAnsi="宋体" w:eastAsia="仿宋_GB2312" w:cs="宋体"/>
          <w:color w:val="auto"/>
          <w:spacing w:val="8"/>
          <w:kern w:val="0"/>
          <w:sz w:val="32"/>
          <w:szCs w:val="32"/>
        </w:rPr>
      </w:pPr>
      <w:r>
        <w:rPr>
          <w:rFonts w:hint="eastAsia" w:ascii="仿宋_GB2312" w:hAnsi="仿宋_GB2312" w:eastAsia="仿宋_GB2312" w:cs="仿宋_GB2312"/>
          <w:color w:val="auto"/>
          <w:sz w:val="32"/>
          <w:szCs w:val="32"/>
          <w:lang w:eastAsia="zh-CN"/>
        </w:rPr>
        <w:t>坚持</w:t>
      </w:r>
      <w:r>
        <w:rPr>
          <w:rFonts w:hint="eastAsia" w:ascii="仿宋_GB2312" w:hAnsi="仿宋_GB2312" w:eastAsia="仿宋_GB2312" w:cs="仿宋_GB2312"/>
          <w:color w:val="auto"/>
          <w:sz w:val="32"/>
          <w:szCs w:val="32"/>
        </w:rPr>
        <w:t>门户网站和政务新媒体常态化</w:t>
      </w:r>
      <w:r>
        <w:rPr>
          <w:rFonts w:hint="eastAsia" w:ascii="仿宋_GB2312" w:hAnsi="仿宋_GB2312" w:eastAsia="仿宋_GB2312" w:cs="仿宋_GB2312"/>
          <w:color w:val="auto"/>
          <w:sz w:val="32"/>
          <w:szCs w:val="32"/>
          <w:lang w:eastAsia="zh-CN"/>
        </w:rPr>
        <w:t>监测</w:t>
      </w:r>
      <w:r>
        <w:rPr>
          <w:rFonts w:hint="eastAsia" w:ascii="仿宋_GB2312" w:hAnsi="仿宋_GB2312" w:eastAsia="仿宋_GB2312" w:cs="仿宋_GB2312"/>
          <w:color w:val="auto"/>
          <w:sz w:val="32"/>
          <w:szCs w:val="32"/>
        </w:rPr>
        <w:t>机制，依托第三方专业技术力量</w:t>
      </w:r>
      <w:r>
        <w:rPr>
          <w:rFonts w:hint="eastAsia" w:ascii="仿宋_GB2312" w:hAnsi="仿宋_GB2312" w:eastAsia="仿宋_GB2312" w:cs="仿宋_GB2312"/>
          <w:color w:val="auto"/>
          <w:sz w:val="32"/>
          <w:szCs w:val="32"/>
          <w:lang w:eastAsia="zh-CN"/>
        </w:rPr>
        <w:t>实时监测运行状态，及时发现整改存在的问题隐患。进一步</w:t>
      </w:r>
      <w:r>
        <w:rPr>
          <w:rFonts w:hint="eastAsia" w:ascii="仿宋_GB2312" w:hAnsi="宋体" w:eastAsia="仿宋_GB2312" w:cs="宋体"/>
          <w:color w:val="auto"/>
          <w:spacing w:val="8"/>
          <w:kern w:val="0"/>
          <w:sz w:val="32"/>
          <w:szCs w:val="32"/>
        </w:rPr>
        <w:t>完善政府信息发布审核机制，组织开展政府信息公开与舆论引导专题培训，将信息公开意识充分渗透到统计工作全流程。</w:t>
      </w:r>
    </w:p>
    <w:p>
      <w:pPr>
        <w:ind w:firstLine="640" w:firstLineChars="200"/>
        <w:rPr>
          <w:rFonts w:ascii="黑体" w:hAnsi="黑体" w:eastAsia="黑体"/>
          <w:sz w:val="32"/>
          <w:szCs w:val="32"/>
        </w:rPr>
      </w:pPr>
      <w:r>
        <w:rPr>
          <w:rFonts w:hint="eastAsia" w:ascii="黑体" w:hAnsi="黑体" w:eastAsia="黑体"/>
          <w:sz w:val="32"/>
          <w:szCs w:val="32"/>
        </w:rPr>
        <w:t>二、主动公开政府信息情况</w:t>
      </w:r>
    </w:p>
    <w:tbl>
      <w:tblPr>
        <w:tblStyle w:val="8"/>
        <w:tblW w:w="8489" w:type="dxa"/>
        <w:jc w:val="center"/>
        <w:tblLayout w:type="fixed"/>
        <w:tblCellMar>
          <w:top w:w="0" w:type="dxa"/>
          <w:left w:w="0" w:type="dxa"/>
          <w:bottom w:w="0" w:type="dxa"/>
          <w:right w:w="0" w:type="dxa"/>
        </w:tblCellMar>
      </w:tblPr>
      <w:tblGrid>
        <w:gridCol w:w="3343"/>
        <w:gridCol w:w="1661"/>
        <w:gridCol w:w="1604"/>
        <w:gridCol w:w="1881"/>
      </w:tblGrid>
      <w:tr>
        <w:tblPrEx>
          <w:tblCellMar>
            <w:top w:w="0" w:type="dxa"/>
            <w:left w:w="0" w:type="dxa"/>
            <w:bottom w:w="0" w:type="dxa"/>
            <w:right w:w="0" w:type="dxa"/>
          </w:tblCellMar>
        </w:tblPrEx>
        <w:trPr>
          <w:trHeight w:val="737" w:hRule="exact"/>
          <w:jc w:val="center"/>
        </w:trPr>
        <w:tc>
          <w:tcPr>
            <w:tcW w:w="8489" w:type="dxa"/>
            <w:gridSpan w:val="4"/>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cs="宋体"/>
                <w:kern w:val="0"/>
                <w:sz w:val="21"/>
                <w:szCs w:val="21"/>
              </w:rPr>
            </w:pPr>
            <w:r>
              <w:rPr>
                <w:rFonts w:hint="eastAsia" w:ascii="宋体" w:hAnsi="宋体" w:cs="宋体"/>
                <w:color w:val="000000"/>
                <w:kern w:val="0"/>
                <w:sz w:val="21"/>
                <w:szCs w:val="21"/>
              </w:rPr>
              <w:t>第二十条第（一）项</w:t>
            </w:r>
          </w:p>
        </w:tc>
      </w:tr>
      <w:tr>
        <w:tblPrEx>
          <w:tblCellMar>
            <w:top w:w="0" w:type="dxa"/>
            <w:left w:w="0" w:type="dxa"/>
            <w:bottom w:w="0" w:type="dxa"/>
            <w:right w:w="0" w:type="dxa"/>
          </w:tblCellMar>
        </w:tblPrEx>
        <w:trPr>
          <w:trHeight w:val="737" w:hRule="exact"/>
          <w:jc w:val="center"/>
        </w:trPr>
        <w:tc>
          <w:tcPr>
            <w:tcW w:w="334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1"/>
                <w:szCs w:val="21"/>
              </w:rPr>
            </w:pPr>
            <w:r>
              <w:rPr>
                <w:rFonts w:hint="eastAsia" w:ascii="宋体" w:hAnsi="宋体" w:cs="宋体"/>
                <w:color w:val="000000"/>
                <w:kern w:val="0"/>
                <w:sz w:val="21"/>
                <w:szCs w:val="21"/>
              </w:rPr>
              <w:t>信息内容</w:t>
            </w:r>
          </w:p>
        </w:tc>
        <w:tc>
          <w:tcPr>
            <w:tcW w:w="1661"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1"/>
                <w:szCs w:val="21"/>
                <w:lang w:eastAsia="zh-CN"/>
              </w:rPr>
            </w:pPr>
            <w:r>
              <w:rPr>
                <w:rFonts w:hint="eastAsia" w:ascii="宋体" w:hAnsi="宋体" w:cs="宋体"/>
                <w:color w:val="000000"/>
                <w:kern w:val="0"/>
                <w:sz w:val="21"/>
                <w:szCs w:val="21"/>
              </w:rPr>
              <w:t>本年</w:t>
            </w:r>
            <w:r>
              <w:rPr>
                <w:rFonts w:hint="eastAsia" w:ascii="宋体" w:hAnsi="宋体" w:cs="宋体"/>
                <w:color w:val="000000"/>
                <w:kern w:val="0"/>
                <w:sz w:val="21"/>
                <w:szCs w:val="21"/>
                <w:lang w:eastAsia="zh-CN"/>
              </w:rPr>
              <w:t>制发件数</w:t>
            </w:r>
          </w:p>
        </w:tc>
        <w:tc>
          <w:tcPr>
            <w:tcW w:w="160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1"/>
                <w:szCs w:val="21"/>
                <w:lang w:eastAsia="zh-CN"/>
              </w:rPr>
            </w:pPr>
            <w:r>
              <w:rPr>
                <w:rFonts w:hint="eastAsia" w:ascii="宋体" w:hAnsi="宋体" w:cs="宋体"/>
                <w:color w:val="000000"/>
                <w:kern w:val="0"/>
                <w:sz w:val="21"/>
                <w:szCs w:val="21"/>
              </w:rPr>
              <w:t>本年</w:t>
            </w:r>
            <w:r>
              <w:rPr>
                <w:rFonts w:hint="eastAsia" w:ascii="宋体" w:hAnsi="宋体" w:cs="宋体"/>
                <w:color w:val="000000"/>
                <w:kern w:val="0"/>
                <w:sz w:val="21"/>
                <w:szCs w:val="21"/>
                <w:lang w:eastAsia="zh-CN"/>
              </w:rPr>
              <w:t>废止件数</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1"/>
                <w:szCs w:val="21"/>
                <w:lang w:eastAsia="zh-CN"/>
              </w:rPr>
            </w:pPr>
            <w:r>
              <w:rPr>
                <w:rFonts w:hint="eastAsia" w:ascii="宋体" w:hAnsi="宋体" w:cs="宋体"/>
                <w:color w:val="000000"/>
                <w:kern w:val="0"/>
                <w:sz w:val="21"/>
                <w:szCs w:val="21"/>
                <w:lang w:eastAsia="zh-CN"/>
              </w:rPr>
              <w:t>现行有效件数</w:t>
            </w:r>
          </w:p>
        </w:tc>
      </w:tr>
      <w:tr>
        <w:tblPrEx>
          <w:tblCellMar>
            <w:top w:w="0" w:type="dxa"/>
            <w:left w:w="0" w:type="dxa"/>
            <w:bottom w:w="0" w:type="dxa"/>
            <w:right w:w="0" w:type="dxa"/>
          </w:tblCellMar>
        </w:tblPrEx>
        <w:trPr>
          <w:trHeight w:val="737" w:hRule="exact"/>
          <w:jc w:val="center"/>
        </w:trPr>
        <w:tc>
          <w:tcPr>
            <w:tcW w:w="334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 w:val="21"/>
                <w:szCs w:val="21"/>
              </w:rPr>
            </w:pPr>
            <w:r>
              <w:rPr>
                <w:rFonts w:hint="eastAsia" w:ascii="宋体" w:hAnsi="宋体" w:cs="宋体"/>
                <w:color w:val="000000"/>
                <w:kern w:val="0"/>
                <w:sz w:val="21"/>
                <w:szCs w:val="21"/>
              </w:rPr>
              <w:t>规章</w:t>
            </w:r>
          </w:p>
        </w:tc>
        <w:tc>
          <w:tcPr>
            <w:tcW w:w="166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0</w:t>
            </w:r>
          </w:p>
        </w:tc>
        <w:tc>
          <w:tcPr>
            <w:tcW w:w="16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0</w:t>
            </w:r>
          </w:p>
        </w:tc>
      </w:tr>
      <w:tr>
        <w:tblPrEx>
          <w:tblCellMar>
            <w:top w:w="0" w:type="dxa"/>
            <w:left w:w="0" w:type="dxa"/>
            <w:bottom w:w="0" w:type="dxa"/>
            <w:right w:w="0" w:type="dxa"/>
          </w:tblCellMar>
        </w:tblPrEx>
        <w:trPr>
          <w:trHeight w:val="737" w:hRule="exact"/>
          <w:jc w:val="center"/>
        </w:trPr>
        <w:tc>
          <w:tcPr>
            <w:tcW w:w="334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 w:val="21"/>
                <w:szCs w:val="21"/>
              </w:rPr>
            </w:pPr>
            <w:r>
              <w:rPr>
                <w:rFonts w:hint="eastAsia" w:ascii="宋体" w:hAnsi="宋体" w:cs="宋体"/>
                <w:color w:val="000000"/>
                <w:kern w:val="0"/>
                <w:sz w:val="21"/>
                <w:szCs w:val="21"/>
                <w:lang w:eastAsia="zh-CN"/>
              </w:rPr>
              <w:t>行政</w:t>
            </w:r>
            <w:r>
              <w:rPr>
                <w:rFonts w:hint="eastAsia" w:ascii="宋体" w:hAnsi="宋体" w:cs="宋体"/>
                <w:color w:val="000000"/>
                <w:kern w:val="0"/>
                <w:sz w:val="21"/>
                <w:szCs w:val="21"/>
              </w:rPr>
              <w:t>规范性文件</w:t>
            </w:r>
          </w:p>
        </w:tc>
        <w:tc>
          <w:tcPr>
            <w:tcW w:w="166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eastAsia="宋体" w:cs="宋体"/>
                <w:kern w:val="0"/>
                <w:sz w:val="21"/>
                <w:szCs w:val="21"/>
                <w:lang w:val="en-US" w:eastAsia="zh-CN"/>
              </w:rPr>
            </w:pPr>
            <w:r>
              <w:rPr>
                <w:rFonts w:hint="eastAsia" w:ascii="宋体" w:hAnsi="宋体" w:cs="宋体"/>
                <w:kern w:val="0"/>
                <w:sz w:val="21"/>
                <w:szCs w:val="21"/>
                <w:lang w:val="en-US" w:eastAsia="zh-CN"/>
              </w:rPr>
              <w:t>1</w:t>
            </w:r>
          </w:p>
        </w:tc>
        <w:tc>
          <w:tcPr>
            <w:tcW w:w="16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default" w:ascii="宋体" w:hAnsi="宋体" w:eastAsia="宋体" w:cs="宋体"/>
                <w:kern w:val="0"/>
                <w:sz w:val="21"/>
                <w:szCs w:val="21"/>
                <w:lang w:val="en-US" w:eastAsia="zh-CN"/>
              </w:rPr>
            </w:pPr>
            <w:r>
              <w:rPr>
                <w:rFonts w:hint="eastAsia" w:ascii="宋体" w:hAnsi="宋体" w:cs="宋体"/>
                <w:kern w:val="0"/>
                <w:sz w:val="21"/>
                <w:szCs w:val="21"/>
                <w:lang w:val="en-US" w:eastAsia="zh-CN"/>
              </w:rPr>
              <w:t>2</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eastAsia="宋体" w:cs="宋体"/>
                <w:kern w:val="0"/>
                <w:sz w:val="21"/>
                <w:szCs w:val="21"/>
                <w:lang w:val="en-US" w:eastAsia="zh-CN"/>
              </w:rPr>
            </w:pPr>
            <w:r>
              <w:rPr>
                <w:rFonts w:hint="eastAsia" w:ascii="宋体" w:hAnsi="宋体" w:cs="宋体"/>
                <w:kern w:val="0"/>
                <w:sz w:val="21"/>
                <w:szCs w:val="21"/>
                <w:lang w:val="en-US" w:eastAsia="zh-CN"/>
              </w:rPr>
              <w:t>4</w:t>
            </w:r>
          </w:p>
        </w:tc>
      </w:tr>
      <w:tr>
        <w:tblPrEx>
          <w:tblCellMar>
            <w:top w:w="0" w:type="dxa"/>
            <w:left w:w="0" w:type="dxa"/>
            <w:bottom w:w="0" w:type="dxa"/>
            <w:right w:w="0" w:type="dxa"/>
          </w:tblCellMar>
        </w:tblPrEx>
        <w:trPr>
          <w:trHeight w:val="737" w:hRule="exact"/>
          <w:jc w:val="center"/>
        </w:trPr>
        <w:tc>
          <w:tcPr>
            <w:tcW w:w="8489"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cs="宋体"/>
                <w:kern w:val="0"/>
                <w:sz w:val="21"/>
                <w:szCs w:val="21"/>
              </w:rPr>
            </w:pPr>
            <w:r>
              <w:rPr>
                <w:rFonts w:hint="eastAsia" w:ascii="宋体" w:hAnsi="宋体" w:cs="宋体"/>
                <w:color w:val="000000"/>
                <w:kern w:val="0"/>
                <w:sz w:val="21"/>
                <w:szCs w:val="21"/>
              </w:rPr>
              <w:t>第二十条第（五）项</w:t>
            </w:r>
          </w:p>
        </w:tc>
      </w:tr>
      <w:tr>
        <w:tblPrEx>
          <w:tblCellMar>
            <w:top w:w="0" w:type="dxa"/>
            <w:left w:w="0" w:type="dxa"/>
            <w:bottom w:w="0" w:type="dxa"/>
            <w:right w:w="0" w:type="dxa"/>
          </w:tblCellMar>
        </w:tblPrEx>
        <w:trPr>
          <w:trHeight w:val="737" w:hRule="exact"/>
          <w:jc w:val="center"/>
        </w:trPr>
        <w:tc>
          <w:tcPr>
            <w:tcW w:w="334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1"/>
                <w:szCs w:val="21"/>
              </w:rPr>
            </w:pPr>
            <w:r>
              <w:rPr>
                <w:rFonts w:hint="eastAsia" w:ascii="宋体" w:hAnsi="宋体" w:cs="宋体"/>
                <w:color w:val="000000"/>
                <w:kern w:val="0"/>
                <w:sz w:val="21"/>
                <w:szCs w:val="21"/>
              </w:rPr>
              <w:t>信息内容</w:t>
            </w:r>
          </w:p>
        </w:tc>
        <w:tc>
          <w:tcPr>
            <w:tcW w:w="5146" w:type="dxa"/>
            <w:gridSpan w:val="3"/>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1"/>
                <w:szCs w:val="21"/>
                <w:lang w:eastAsia="zh-CN"/>
              </w:rPr>
            </w:pPr>
            <w:r>
              <w:rPr>
                <w:rFonts w:hint="eastAsia" w:ascii="宋体" w:hAnsi="宋体" w:cs="宋体"/>
                <w:color w:val="000000"/>
                <w:kern w:val="0"/>
                <w:sz w:val="21"/>
                <w:szCs w:val="21"/>
                <w:lang w:eastAsia="zh-CN"/>
              </w:rPr>
              <w:t>本年处理决定数量</w:t>
            </w:r>
          </w:p>
        </w:tc>
      </w:tr>
      <w:tr>
        <w:tblPrEx>
          <w:tblCellMar>
            <w:top w:w="0" w:type="dxa"/>
            <w:left w:w="0" w:type="dxa"/>
            <w:bottom w:w="0" w:type="dxa"/>
            <w:right w:w="0" w:type="dxa"/>
          </w:tblCellMar>
        </w:tblPrEx>
        <w:trPr>
          <w:trHeight w:val="737" w:hRule="exact"/>
          <w:jc w:val="center"/>
        </w:trPr>
        <w:tc>
          <w:tcPr>
            <w:tcW w:w="334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 w:val="21"/>
                <w:szCs w:val="21"/>
              </w:rPr>
            </w:pPr>
            <w:r>
              <w:rPr>
                <w:rFonts w:hint="eastAsia" w:ascii="宋体" w:hAnsi="宋体" w:cs="宋体"/>
                <w:color w:val="000000"/>
                <w:kern w:val="0"/>
                <w:sz w:val="21"/>
                <w:szCs w:val="21"/>
              </w:rPr>
              <w:t>行政许可</w:t>
            </w:r>
          </w:p>
        </w:tc>
        <w:tc>
          <w:tcPr>
            <w:tcW w:w="5146"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eastAsia="宋体" w:cs="宋体"/>
                <w:kern w:val="0"/>
                <w:sz w:val="21"/>
                <w:szCs w:val="21"/>
                <w:lang w:val="en-US" w:eastAsia="zh-CN"/>
              </w:rPr>
            </w:pPr>
            <w:r>
              <w:rPr>
                <w:rFonts w:hint="eastAsia" w:ascii="宋体" w:hAnsi="宋体" w:cs="宋体"/>
                <w:kern w:val="0"/>
                <w:sz w:val="21"/>
                <w:szCs w:val="21"/>
                <w:lang w:val="en-US" w:eastAsia="zh-CN"/>
              </w:rPr>
              <w:t>0</w:t>
            </w:r>
          </w:p>
        </w:tc>
      </w:tr>
      <w:tr>
        <w:tblPrEx>
          <w:tblCellMar>
            <w:top w:w="0" w:type="dxa"/>
            <w:left w:w="0" w:type="dxa"/>
            <w:bottom w:w="0" w:type="dxa"/>
            <w:right w:w="0" w:type="dxa"/>
          </w:tblCellMar>
        </w:tblPrEx>
        <w:trPr>
          <w:trHeight w:val="737" w:hRule="exact"/>
          <w:jc w:val="center"/>
        </w:trPr>
        <w:tc>
          <w:tcPr>
            <w:tcW w:w="8489"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cs="宋体"/>
                <w:kern w:val="0"/>
                <w:sz w:val="21"/>
                <w:szCs w:val="21"/>
              </w:rPr>
            </w:pPr>
            <w:r>
              <w:rPr>
                <w:rFonts w:hint="eastAsia" w:ascii="宋体" w:hAnsi="宋体" w:cs="宋体"/>
                <w:color w:val="000000"/>
                <w:kern w:val="0"/>
                <w:sz w:val="21"/>
                <w:szCs w:val="21"/>
              </w:rPr>
              <w:t>第二十条第（六）项</w:t>
            </w:r>
          </w:p>
        </w:tc>
      </w:tr>
      <w:tr>
        <w:tblPrEx>
          <w:tblCellMar>
            <w:top w:w="0" w:type="dxa"/>
            <w:left w:w="0" w:type="dxa"/>
            <w:bottom w:w="0" w:type="dxa"/>
            <w:right w:w="0" w:type="dxa"/>
          </w:tblCellMar>
        </w:tblPrEx>
        <w:trPr>
          <w:trHeight w:val="737" w:hRule="exact"/>
          <w:jc w:val="center"/>
        </w:trPr>
        <w:tc>
          <w:tcPr>
            <w:tcW w:w="334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1"/>
                <w:szCs w:val="21"/>
              </w:rPr>
            </w:pPr>
            <w:r>
              <w:rPr>
                <w:rFonts w:hint="eastAsia" w:ascii="宋体" w:hAnsi="宋体" w:cs="宋体"/>
                <w:color w:val="000000"/>
                <w:kern w:val="0"/>
                <w:sz w:val="21"/>
                <w:szCs w:val="21"/>
              </w:rPr>
              <w:t>信息内容</w:t>
            </w:r>
          </w:p>
        </w:tc>
        <w:tc>
          <w:tcPr>
            <w:tcW w:w="5146" w:type="dxa"/>
            <w:gridSpan w:val="3"/>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1"/>
                <w:szCs w:val="21"/>
              </w:rPr>
            </w:pPr>
            <w:r>
              <w:rPr>
                <w:rFonts w:hint="eastAsia" w:ascii="宋体" w:hAnsi="宋体" w:cs="宋体"/>
                <w:color w:val="000000"/>
                <w:kern w:val="0"/>
                <w:sz w:val="21"/>
                <w:szCs w:val="21"/>
                <w:lang w:eastAsia="zh-CN"/>
              </w:rPr>
              <w:t>本年</w:t>
            </w:r>
            <w:r>
              <w:rPr>
                <w:rFonts w:hint="eastAsia" w:ascii="宋体" w:hAnsi="宋体" w:cs="宋体"/>
                <w:color w:val="000000"/>
                <w:kern w:val="0"/>
                <w:sz w:val="21"/>
                <w:szCs w:val="21"/>
              </w:rPr>
              <w:t>处理决定数量</w:t>
            </w:r>
          </w:p>
        </w:tc>
      </w:tr>
      <w:tr>
        <w:tblPrEx>
          <w:tblCellMar>
            <w:top w:w="0" w:type="dxa"/>
            <w:left w:w="0" w:type="dxa"/>
            <w:bottom w:w="0" w:type="dxa"/>
            <w:right w:w="0" w:type="dxa"/>
          </w:tblCellMar>
        </w:tblPrEx>
        <w:trPr>
          <w:trHeight w:val="737" w:hRule="exact"/>
          <w:jc w:val="center"/>
        </w:trPr>
        <w:tc>
          <w:tcPr>
            <w:tcW w:w="334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 w:val="21"/>
                <w:szCs w:val="21"/>
              </w:rPr>
            </w:pPr>
            <w:r>
              <w:rPr>
                <w:rFonts w:hint="eastAsia" w:ascii="宋体" w:hAnsi="宋体" w:cs="宋体"/>
                <w:color w:val="000000"/>
                <w:kern w:val="0"/>
                <w:sz w:val="21"/>
                <w:szCs w:val="21"/>
              </w:rPr>
              <w:t>行政处罚</w:t>
            </w:r>
          </w:p>
        </w:tc>
        <w:tc>
          <w:tcPr>
            <w:tcW w:w="5146"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eastAsia="宋体" w:cs="宋体"/>
                <w:kern w:val="0"/>
                <w:sz w:val="21"/>
                <w:szCs w:val="21"/>
                <w:lang w:val="en-US" w:eastAsia="zh-CN"/>
              </w:rPr>
            </w:pPr>
            <w:r>
              <w:rPr>
                <w:rFonts w:hint="eastAsia" w:ascii="宋体" w:hAnsi="宋体" w:cs="宋体"/>
                <w:kern w:val="0"/>
                <w:sz w:val="21"/>
                <w:szCs w:val="21"/>
                <w:lang w:val="en-US" w:eastAsia="zh-CN"/>
              </w:rPr>
              <w:t>27</w:t>
            </w:r>
          </w:p>
        </w:tc>
      </w:tr>
      <w:tr>
        <w:tblPrEx>
          <w:tblCellMar>
            <w:top w:w="0" w:type="dxa"/>
            <w:left w:w="0" w:type="dxa"/>
            <w:bottom w:w="0" w:type="dxa"/>
            <w:right w:w="0" w:type="dxa"/>
          </w:tblCellMar>
        </w:tblPrEx>
        <w:trPr>
          <w:trHeight w:val="737" w:hRule="exact"/>
          <w:jc w:val="center"/>
        </w:trPr>
        <w:tc>
          <w:tcPr>
            <w:tcW w:w="334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 w:val="21"/>
                <w:szCs w:val="21"/>
              </w:rPr>
            </w:pPr>
            <w:r>
              <w:rPr>
                <w:rFonts w:hint="eastAsia" w:ascii="宋体" w:hAnsi="宋体" w:cs="宋体"/>
                <w:color w:val="000000"/>
                <w:kern w:val="0"/>
                <w:sz w:val="21"/>
                <w:szCs w:val="21"/>
              </w:rPr>
              <w:t>行政强制</w:t>
            </w:r>
          </w:p>
        </w:tc>
        <w:tc>
          <w:tcPr>
            <w:tcW w:w="5146"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0</w:t>
            </w:r>
          </w:p>
        </w:tc>
      </w:tr>
      <w:tr>
        <w:tblPrEx>
          <w:tblCellMar>
            <w:top w:w="0" w:type="dxa"/>
            <w:left w:w="0" w:type="dxa"/>
            <w:bottom w:w="0" w:type="dxa"/>
            <w:right w:w="0" w:type="dxa"/>
          </w:tblCellMar>
        </w:tblPrEx>
        <w:trPr>
          <w:trHeight w:val="737" w:hRule="exact"/>
          <w:jc w:val="center"/>
        </w:trPr>
        <w:tc>
          <w:tcPr>
            <w:tcW w:w="8489"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cs="宋体"/>
                <w:kern w:val="0"/>
                <w:sz w:val="21"/>
                <w:szCs w:val="21"/>
              </w:rPr>
            </w:pPr>
            <w:r>
              <w:rPr>
                <w:rFonts w:hint="eastAsia" w:ascii="宋体" w:hAnsi="宋体" w:cs="宋体"/>
                <w:color w:val="000000"/>
                <w:kern w:val="0"/>
                <w:sz w:val="21"/>
                <w:szCs w:val="21"/>
              </w:rPr>
              <w:t>第二十条第（八）项</w:t>
            </w:r>
          </w:p>
        </w:tc>
      </w:tr>
      <w:tr>
        <w:tblPrEx>
          <w:tblCellMar>
            <w:top w:w="0" w:type="dxa"/>
            <w:left w:w="0" w:type="dxa"/>
            <w:bottom w:w="0" w:type="dxa"/>
            <w:right w:w="0" w:type="dxa"/>
          </w:tblCellMar>
        </w:tblPrEx>
        <w:trPr>
          <w:trHeight w:val="737" w:hRule="exact"/>
          <w:jc w:val="center"/>
        </w:trPr>
        <w:tc>
          <w:tcPr>
            <w:tcW w:w="334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1"/>
                <w:szCs w:val="21"/>
              </w:rPr>
            </w:pPr>
            <w:r>
              <w:rPr>
                <w:rFonts w:hint="eastAsia" w:ascii="宋体" w:hAnsi="宋体" w:cs="宋体"/>
                <w:color w:val="000000"/>
                <w:kern w:val="0"/>
                <w:sz w:val="21"/>
                <w:szCs w:val="21"/>
              </w:rPr>
              <w:t>信息内容</w:t>
            </w:r>
          </w:p>
        </w:tc>
        <w:tc>
          <w:tcPr>
            <w:tcW w:w="5146" w:type="dxa"/>
            <w:gridSpan w:val="3"/>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1"/>
                <w:szCs w:val="21"/>
                <w:lang w:eastAsia="zh-CN"/>
              </w:rPr>
            </w:pPr>
            <w:r>
              <w:rPr>
                <w:rFonts w:hint="eastAsia" w:ascii="宋体" w:hAnsi="宋体" w:cs="宋体"/>
                <w:color w:val="000000"/>
                <w:kern w:val="0"/>
                <w:sz w:val="21"/>
                <w:szCs w:val="21"/>
                <w:lang w:eastAsia="zh-CN"/>
              </w:rPr>
              <w:t>本年收费金额（单位：万元）</w:t>
            </w:r>
          </w:p>
        </w:tc>
      </w:tr>
      <w:tr>
        <w:tblPrEx>
          <w:tblCellMar>
            <w:top w:w="0" w:type="dxa"/>
            <w:left w:w="0" w:type="dxa"/>
            <w:bottom w:w="0" w:type="dxa"/>
            <w:right w:w="0" w:type="dxa"/>
          </w:tblCellMar>
        </w:tblPrEx>
        <w:trPr>
          <w:trHeight w:val="737" w:hRule="exact"/>
          <w:jc w:val="center"/>
        </w:trPr>
        <w:tc>
          <w:tcPr>
            <w:tcW w:w="334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 w:val="21"/>
                <w:szCs w:val="21"/>
              </w:rPr>
            </w:pPr>
            <w:r>
              <w:rPr>
                <w:rFonts w:hint="eastAsia" w:ascii="宋体" w:hAnsi="宋体" w:cs="宋体"/>
                <w:color w:val="000000"/>
                <w:kern w:val="0"/>
                <w:sz w:val="21"/>
                <w:szCs w:val="21"/>
              </w:rPr>
              <w:t>行政事业性收费</w:t>
            </w:r>
          </w:p>
        </w:tc>
        <w:tc>
          <w:tcPr>
            <w:tcW w:w="5146" w:type="dxa"/>
            <w:gridSpan w:val="3"/>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0</w:t>
            </w:r>
          </w:p>
        </w:tc>
      </w:tr>
    </w:tbl>
    <w:p>
      <w:pPr>
        <w:ind w:firstLine="640" w:firstLineChars="200"/>
        <w:rPr>
          <w:rFonts w:hint="eastAsia" w:ascii="黑体" w:hAnsi="黑体" w:eastAsia="黑体"/>
          <w:sz w:val="32"/>
          <w:szCs w:val="32"/>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三、收到和处理政府信息公开申请情况</w:t>
      </w:r>
    </w:p>
    <w:tbl>
      <w:tblPr>
        <w:tblStyle w:val="8"/>
        <w:tblW w:w="9909" w:type="dxa"/>
        <w:jc w:val="center"/>
        <w:tblLayout w:type="fixed"/>
        <w:tblCellMar>
          <w:top w:w="0" w:type="dxa"/>
          <w:left w:w="0" w:type="dxa"/>
          <w:bottom w:w="0" w:type="dxa"/>
          <w:right w:w="0" w:type="dxa"/>
        </w:tblCellMar>
      </w:tblPr>
      <w:tblGrid>
        <w:gridCol w:w="751"/>
        <w:gridCol w:w="808"/>
        <w:gridCol w:w="3700"/>
        <w:gridCol w:w="669"/>
        <w:gridCol w:w="658"/>
        <w:gridCol w:w="658"/>
        <w:gridCol w:w="703"/>
        <w:gridCol w:w="647"/>
        <w:gridCol w:w="669"/>
        <w:gridCol w:w="646"/>
      </w:tblGrid>
      <w:tr>
        <w:tblPrEx>
          <w:tblCellMar>
            <w:top w:w="0" w:type="dxa"/>
            <w:left w:w="0" w:type="dxa"/>
            <w:bottom w:w="0" w:type="dxa"/>
            <w:right w:w="0" w:type="dxa"/>
          </w:tblCellMar>
        </w:tblPrEx>
        <w:trPr>
          <w:trHeight w:val="420" w:hRule="exact"/>
          <w:jc w:val="center"/>
        </w:trPr>
        <w:tc>
          <w:tcPr>
            <w:tcW w:w="5259" w:type="dxa"/>
            <w:gridSpan w:val="3"/>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left"/>
              <w:rPr>
                <w:rFonts w:ascii="宋体" w:hAnsi="宋体" w:cs="宋体"/>
                <w:kern w:val="0"/>
                <w:sz w:val="21"/>
                <w:szCs w:val="21"/>
              </w:rPr>
            </w:pPr>
            <w:r>
              <w:rPr>
                <w:rFonts w:hint="eastAsia" w:ascii="方正楷体_GBK" w:hAnsi="方正楷体_GBK" w:eastAsia="方正楷体_GBK" w:cs="方正楷体_GBK"/>
                <w:kern w:val="0"/>
                <w:sz w:val="21"/>
                <w:szCs w:val="21"/>
              </w:rPr>
              <w:t>（本列数据的勾稽关系为：第一项加第二项之和，等于第三项加第四项之和）</w:t>
            </w:r>
          </w:p>
        </w:tc>
        <w:tc>
          <w:tcPr>
            <w:tcW w:w="4650" w:type="dxa"/>
            <w:gridSpan w:val="7"/>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ascii="宋体" w:hAnsi="宋体" w:cs="宋体"/>
                <w:kern w:val="0"/>
                <w:sz w:val="21"/>
                <w:szCs w:val="21"/>
              </w:rPr>
            </w:pPr>
            <w:r>
              <w:rPr>
                <w:rFonts w:hint="eastAsia" w:ascii="方正仿宋_GBK" w:hAnsi="方正仿宋_GBK" w:eastAsia="方正仿宋_GBK" w:cs="方正仿宋_GBK"/>
                <w:kern w:val="0"/>
                <w:sz w:val="21"/>
                <w:szCs w:val="21"/>
              </w:rPr>
              <w:t>申请人情况</w:t>
            </w:r>
          </w:p>
        </w:tc>
      </w:tr>
      <w:tr>
        <w:tblPrEx>
          <w:tblCellMar>
            <w:top w:w="0" w:type="dxa"/>
            <w:left w:w="0" w:type="dxa"/>
            <w:bottom w:w="0" w:type="dxa"/>
            <w:right w:w="0" w:type="dxa"/>
          </w:tblCellMar>
        </w:tblPrEx>
        <w:trPr>
          <w:trHeight w:val="420" w:hRule="exact"/>
          <w:jc w:val="center"/>
        </w:trPr>
        <w:tc>
          <w:tcPr>
            <w:tcW w:w="5259" w:type="dxa"/>
            <w:gridSpan w:val="3"/>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40" w:lineRule="exact"/>
              <w:jc w:val="left"/>
              <w:rPr>
                <w:rFonts w:ascii="宋体" w:hAnsi="宋体" w:cs="宋体"/>
                <w:kern w:val="0"/>
                <w:sz w:val="21"/>
                <w:szCs w:val="21"/>
              </w:rPr>
            </w:pPr>
          </w:p>
        </w:tc>
        <w:tc>
          <w:tcPr>
            <w:tcW w:w="669"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自然人</w:t>
            </w:r>
          </w:p>
        </w:tc>
        <w:tc>
          <w:tcPr>
            <w:tcW w:w="3335" w:type="dxa"/>
            <w:gridSpan w:val="5"/>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法人或其他组织</w:t>
            </w:r>
          </w:p>
        </w:tc>
        <w:tc>
          <w:tcPr>
            <w:tcW w:w="646" w:type="dxa"/>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总计</w:t>
            </w:r>
          </w:p>
        </w:tc>
      </w:tr>
      <w:tr>
        <w:tblPrEx>
          <w:tblCellMar>
            <w:top w:w="0" w:type="dxa"/>
            <w:left w:w="0" w:type="dxa"/>
            <w:bottom w:w="0" w:type="dxa"/>
            <w:right w:w="0" w:type="dxa"/>
          </w:tblCellMar>
        </w:tblPrEx>
        <w:trPr>
          <w:trHeight w:val="720" w:hRule="exact"/>
          <w:jc w:val="center"/>
        </w:trPr>
        <w:tc>
          <w:tcPr>
            <w:tcW w:w="5259" w:type="dxa"/>
            <w:gridSpan w:val="3"/>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40" w:lineRule="exact"/>
              <w:jc w:val="left"/>
              <w:rPr>
                <w:rFonts w:ascii="宋体" w:hAnsi="宋体" w:cs="宋体"/>
                <w:kern w:val="0"/>
                <w:sz w:val="21"/>
                <w:szCs w:val="21"/>
              </w:rPr>
            </w:pPr>
          </w:p>
        </w:tc>
        <w:tc>
          <w:tcPr>
            <w:tcW w:w="669" w:type="dxa"/>
            <w:vMerge w:val="continue"/>
            <w:tcBorders>
              <w:top w:val="nil"/>
              <w:left w:val="nil"/>
              <w:bottom w:val="single" w:color="auto" w:sz="8" w:space="0"/>
              <w:right w:val="single" w:color="auto" w:sz="8" w:space="0"/>
            </w:tcBorders>
            <w:noWrap w:val="0"/>
            <w:vAlign w:val="center"/>
          </w:tcPr>
          <w:p>
            <w:pPr>
              <w:widowControl/>
              <w:spacing w:line="240" w:lineRule="exact"/>
              <w:jc w:val="left"/>
              <w:rPr>
                <w:rFonts w:ascii="宋体" w:hAnsi="宋体" w:cs="宋体"/>
                <w:kern w:val="0"/>
                <w:sz w:val="21"/>
                <w:szCs w:val="21"/>
              </w:rPr>
            </w:pPr>
          </w:p>
        </w:tc>
        <w:tc>
          <w:tcPr>
            <w:tcW w:w="6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商业企业</w:t>
            </w:r>
          </w:p>
        </w:tc>
        <w:tc>
          <w:tcPr>
            <w:tcW w:w="6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科研机构</w:t>
            </w:r>
          </w:p>
        </w:tc>
        <w:tc>
          <w:tcPr>
            <w:tcW w:w="70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社会公益组织</w:t>
            </w:r>
          </w:p>
        </w:tc>
        <w:tc>
          <w:tcPr>
            <w:tcW w:w="64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法律服务机构</w:t>
            </w:r>
          </w:p>
        </w:tc>
        <w:tc>
          <w:tcPr>
            <w:tcW w:w="66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其他</w:t>
            </w:r>
          </w:p>
        </w:tc>
        <w:tc>
          <w:tcPr>
            <w:tcW w:w="646" w:type="dxa"/>
            <w:vMerge w:val="continue"/>
            <w:tcBorders>
              <w:top w:val="single" w:color="auto" w:sz="8" w:space="0"/>
              <w:left w:val="nil"/>
              <w:bottom w:val="single" w:color="auto" w:sz="8" w:space="0"/>
              <w:right w:val="single" w:color="auto" w:sz="8" w:space="0"/>
            </w:tcBorders>
            <w:noWrap w:val="0"/>
            <w:vAlign w:val="center"/>
          </w:tcPr>
          <w:p>
            <w:pPr>
              <w:widowControl/>
              <w:spacing w:line="240" w:lineRule="exact"/>
              <w:jc w:val="left"/>
              <w:rPr>
                <w:rFonts w:ascii="宋体" w:hAnsi="宋体" w:cs="宋体"/>
                <w:kern w:val="0"/>
                <w:sz w:val="21"/>
                <w:szCs w:val="21"/>
              </w:rPr>
            </w:pPr>
          </w:p>
        </w:tc>
      </w:tr>
      <w:tr>
        <w:tblPrEx>
          <w:tblCellMar>
            <w:top w:w="0" w:type="dxa"/>
            <w:left w:w="0" w:type="dxa"/>
            <w:bottom w:w="0" w:type="dxa"/>
            <w:right w:w="0" w:type="dxa"/>
          </w:tblCellMar>
        </w:tblPrEx>
        <w:trPr>
          <w:trHeight w:val="420" w:hRule="exact"/>
          <w:jc w:val="center"/>
        </w:trPr>
        <w:tc>
          <w:tcPr>
            <w:tcW w:w="5259" w:type="dxa"/>
            <w:gridSpan w:val="3"/>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left"/>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一、本年新收政府信息公开申请数量</w:t>
            </w:r>
          </w:p>
        </w:tc>
        <w:tc>
          <w:tcPr>
            <w:tcW w:w="66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default" w:ascii="方正仿宋_GBK" w:hAnsi="方正仿宋_GBK" w:eastAsia="方正仿宋_GBK" w:cs="方正仿宋_GBK"/>
                <w:kern w:val="0"/>
                <w:sz w:val="21"/>
                <w:szCs w:val="21"/>
                <w:lang w:val="en-US" w:eastAsia="zh-CN"/>
              </w:rPr>
            </w:pPr>
            <w:r>
              <w:rPr>
                <w:rFonts w:hint="eastAsia" w:ascii="方正仿宋_GBK" w:hAnsi="方正仿宋_GBK" w:eastAsia="方正仿宋_GBK" w:cs="方正仿宋_GBK"/>
                <w:kern w:val="0"/>
                <w:sz w:val="21"/>
                <w:szCs w:val="21"/>
                <w:lang w:val="en-US" w:eastAsia="zh-CN"/>
              </w:rPr>
              <w:t>44</w:t>
            </w:r>
          </w:p>
        </w:tc>
        <w:tc>
          <w:tcPr>
            <w:tcW w:w="6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70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4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6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4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default" w:ascii="方正仿宋_GBK" w:hAnsi="方正仿宋_GBK" w:eastAsia="方正仿宋_GBK" w:cs="方正仿宋_GBK"/>
                <w:kern w:val="0"/>
                <w:sz w:val="21"/>
                <w:szCs w:val="21"/>
                <w:lang w:val="en-US" w:eastAsia="zh-CN"/>
              </w:rPr>
            </w:pPr>
            <w:r>
              <w:rPr>
                <w:rFonts w:hint="eastAsia" w:ascii="方正仿宋_GBK" w:hAnsi="方正仿宋_GBK" w:eastAsia="方正仿宋_GBK" w:cs="方正仿宋_GBK"/>
                <w:kern w:val="0"/>
                <w:sz w:val="21"/>
                <w:szCs w:val="21"/>
                <w:lang w:val="en-US" w:eastAsia="zh-CN"/>
              </w:rPr>
              <w:t>44</w:t>
            </w:r>
          </w:p>
        </w:tc>
      </w:tr>
      <w:tr>
        <w:tblPrEx>
          <w:tblCellMar>
            <w:top w:w="0" w:type="dxa"/>
            <w:left w:w="0" w:type="dxa"/>
            <w:bottom w:w="0" w:type="dxa"/>
            <w:right w:w="0" w:type="dxa"/>
          </w:tblCellMar>
        </w:tblPrEx>
        <w:trPr>
          <w:trHeight w:val="420" w:hRule="exact"/>
          <w:jc w:val="center"/>
        </w:trPr>
        <w:tc>
          <w:tcPr>
            <w:tcW w:w="5259" w:type="dxa"/>
            <w:gridSpan w:val="3"/>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left"/>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二、上年结转政府信息公开申请数量</w:t>
            </w:r>
          </w:p>
        </w:tc>
        <w:tc>
          <w:tcPr>
            <w:tcW w:w="66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lang w:eastAsia="zh-CN"/>
              </w:rPr>
            </w:pPr>
            <w:r>
              <w:rPr>
                <w:rFonts w:hint="eastAsia" w:ascii="方正仿宋_GBK" w:hAnsi="方正仿宋_GBK" w:eastAsia="方正仿宋_GBK" w:cs="方正仿宋_GBK"/>
                <w:kern w:val="0"/>
                <w:sz w:val="21"/>
                <w:szCs w:val="21"/>
                <w:lang w:val="en-US" w:eastAsia="zh-CN"/>
              </w:rPr>
              <w:t>0</w:t>
            </w:r>
          </w:p>
        </w:tc>
        <w:tc>
          <w:tcPr>
            <w:tcW w:w="6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70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4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6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4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lang w:eastAsia="zh-CN"/>
              </w:rPr>
            </w:pPr>
            <w:r>
              <w:rPr>
                <w:rFonts w:hint="eastAsia" w:ascii="方正仿宋_GBK" w:hAnsi="方正仿宋_GBK" w:eastAsia="方正仿宋_GBK" w:cs="方正仿宋_GBK"/>
                <w:kern w:val="0"/>
                <w:sz w:val="21"/>
                <w:szCs w:val="21"/>
                <w:lang w:val="en-US" w:eastAsia="zh-CN"/>
              </w:rPr>
              <w:t>0</w:t>
            </w:r>
          </w:p>
        </w:tc>
      </w:tr>
      <w:tr>
        <w:tblPrEx>
          <w:tblCellMar>
            <w:top w:w="0" w:type="dxa"/>
            <w:left w:w="0" w:type="dxa"/>
            <w:bottom w:w="0" w:type="dxa"/>
            <w:right w:w="0" w:type="dxa"/>
          </w:tblCellMar>
        </w:tblPrEx>
        <w:trPr>
          <w:trHeight w:val="420" w:hRule="exact"/>
          <w:jc w:val="center"/>
        </w:trPr>
        <w:tc>
          <w:tcPr>
            <w:tcW w:w="751"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ascii="宋体" w:hAnsi="宋体" w:cs="宋体"/>
                <w:kern w:val="0"/>
                <w:sz w:val="21"/>
                <w:szCs w:val="21"/>
              </w:rPr>
            </w:pPr>
            <w:r>
              <w:rPr>
                <w:rFonts w:hint="eastAsia" w:ascii="方正仿宋_GBK" w:hAnsi="方正仿宋_GBK" w:eastAsia="方正仿宋_GBK" w:cs="方正仿宋_GBK"/>
                <w:kern w:val="0"/>
                <w:sz w:val="21"/>
                <w:szCs w:val="21"/>
              </w:rPr>
              <w:t>三、本年度办理结果</w:t>
            </w:r>
          </w:p>
        </w:tc>
        <w:tc>
          <w:tcPr>
            <w:tcW w:w="4508"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left"/>
              <w:rPr>
                <w:rFonts w:ascii="宋体" w:hAnsi="宋体" w:cs="宋体"/>
                <w:kern w:val="0"/>
                <w:sz w:val="21"/>
                <w:szCs w:val="21"/>
              </w:rPr>
            </w:pPr>
            <w:r>
              <w:rPr>
                <w:rFonts w:hint="eastAsia" w:ascii="方正仿宋_GBK" w:hAnsi="方正仿宋_GBK" w:eastAsia="方正仿宋_GBK" w:cs="方正仿宋_GBK"/>
                <w:kern w:val="0"/>
                <w:sz w:val="21"/>
                <w:szCs w:val="21"/>
              </w:rPr>
              <w:t>（一）予以公开</w:t>
            </w:r>
          </w:p>
        </w:tc>
        <w:tc>
          <w:tcPr>
            <w:tcW w:w="66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default" w:ascii="方正仿宋_GBK" w:hAnsi="方正仿宋_GBK" w:eastAsia="方正仿宋_GBK" w:cs="方正仿宋_GBK"/>
                <w:kern w:val="0"/>
                <w:sz w:val="21"/>
                <w:szCs w:val="21"/>
                <w:lang w:val="en-US" w:eastAsia="zh-CN"/>
              </w:rPr>
            </w:pPr>
            <w:r>
              <w:rPr>
                <w:rFonts w:hint="eastAsia" w:ascii="方正仿宋_GBK" w:hAnsi="方正仿宋_GBK" w:eastAsia="方正仿宋_GBK" w:cs="方正仿宋_GBK"/>
                <w:kern w:val="0"/>
                <w:sz w:val="21"/>
                <w:szCs w:val="21"/>
                <w:lang w:val="en-US" w:eastAsia="zh-CN"/>
              </w:rPr>
              <w:t>18</w:t>
            </w:r>
          </w:p>
        </w:tc>
        <w:tc>
          <w:tcPr>
            <w:tcW w:w="6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70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4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6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4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default" w:ascii="方正仿宋_GBK" w:hAnsi="方正仿宋_GBK" w:eastAsia="方正仿宋_GBK" w:cs="方正仿宋_GBK"/>
                <w:kern w:val="0"/>
                <w:sz w:val="21"/>
                <w:szCs w:val="21"/>
                <w:lang w:val="en-US" w:eastAsia="zh-CN"/>
              </w:rPr>
            </w:pPr>
            <w:r>
              <w:rPr>
                <w:rFonts w:hint="eastAsia" w:ascii="方正仿宋_GBK" w:hAnsi="方正仿宋_GBK" w:eastAsia="方正仿宋_GBK" w:cs="方正仿宋_GBK"/>
                <w:kern w:val="0"/>
                <w:sz w:val="21"/>
                <w:szCs w:val="21"/>
                <w:lang w:val="en-US" w:eastAsia="zh-CN"/>
              </w:rPr>
              <w:t>18</w:t>
            </w:r>
          </w:p>
        </w:tc>
      </w:tr>
      <w:tr>
        <w:tblPrEx>
          <w:tblCellMar>
            <w:top w:w="0" w:type="dxa"/>
            <w:left w:w="0" w:type="dxa"/>
            <w:bottom w:w="0" w:type="dxa"/>
            <w:right w:w="0" w:type="dxa"/>
          </w:tblCellMar>
        </w:tblPrEx>
        <w:trPr>
          <w:trHeight w:val="511" w:hRule="exact"/>
          <w:jc w:val="center"/>
        </w:trPr>
        <w:tc>
          <w:tcPr>
            <w:tcW w:w="751" w:type="dxa"/>
            <w:vMerge w:val="continue"/>
            <w:tcBorders>
              <w:top w:val="nil"/>
              <w:left w:val="single" w:color="auto" w:sz="8" w:space="0"/>
              <w:bottom w:val="single" w:color="auto" w:sz="8" w:space="0"/>
              <w:right w:val="single" w:color="auto" w:sz="8" w:space="0"/>
            </w:tcBorders>
            <w:noWrap w:val="0"/>
            <w:vAlign w:val="center"/>
          </w:tcPr>
          <w:p>
            <w:pPr>
              <w:widowControl/>
              <w:spacing w:line="240" w:lineRule="exact"/>
              <w:jc w:val="left"/>
              <w:rPr>
                <w:rFonts w:ascii="宋体" w:hAnsi="宋体" w:cs="宋体"/>
                <w:kern w:val="0"/>
                <w:sz w:val="21"/>
                <w:szCs w:val="21"/>
              </w:rPr>
            </w:pPr>
          </w:p>
        </w:tc>
        <w:tc>
          <w:tcPr>
            <w:tcW w:w="4508"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left"/>
              <w:rPr>
                <w:rFonts w:ascii="宋体" w:hAnsi="宋体" w:cs="宋体"/>
                <w:kern w:val="0"/>
                <w:sz w:val="21"/>
                <w:szCs w:val="21"/>
              </w:rPr>
            </w:pPr>
            <w:r>
              <w:rPr>
                <w:rFonts w:hint="eastAsia" w:ascii="方正仿宋_GBK" w:hAnsi="方正仿宋_GBK" w:eastAsia="方正仿宋_GBK" w:cs="方正仿宋_GBK"/>
                <w:kern w:val="0"/>
                <w:sz w:val="21"/>
                <w:szCs w:val="21"/>
              </w:rPr>
              <w:t>（二）部分公开</w:t>
            </w:r>
            <w:r>
              <w:rPr>
                <w:rFonts w:hint="eastAsia" w:ascii="方正楷体_GBK" w:hAnsi="方正楷体_GBK" w:eastAsia="方正楷体_GBK" w:cs="方正楷体_GBK"/>
                <w:kern w:val="0"/>
                <w:sz w:val="21"/>
                <w:szCs w:val="21"/>
              </w:rPr>
              <w:t>（区分处理的，只计这一情形，不计其他情形）</w:t>
            </w:r>
          </w:p>
        </w:tc>
        <w:tc>
          <w:tcPr>
            <w:tcW w:w="66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lang w:eastAsia="zh-CN"/>
              </w:rPr>
            </w:pPr>
            <w:r>
              <w:rPr>
                <w:rFonts w:hint="eastAsia" w:ascii="方正仿宋_GBK" w:hAnsi="方正仿宋_GBK" w:eastAsia="方正仿宋_GBK" w:cs="方正仿宋_GBK"/>
                <w:kern w:val="0"/>
                <w:sz w:val="21"/>
                <w:szCs w:val="21"/>
                <w:lang w:val="en-US" w:eastAsia="zh-CN"/>
              </w:rPr>
              <w:t>1</w:t>
            </w:r>
          </w:p>
        </w:tc>
        <w:tc>
          <w:tcPr>
            <w:tcW w:w="6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70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4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6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4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lang w:eastAsia="zh-CN"/>
              </w:rPr>
            </w:pPr>
            <w:r>
              <w:rPr>
                <w:rFonts w:hint="eastAsia" w:ascii="方正仿宋_GBK" w:hAnsi="方正仿宋_GBK" w:eastAsia="方正仿宋_GBK" w:cs="方正仿宋_GBK"/>
                <w:kern w:val="0"/>
                <w:sz w:val="21"/>
                <w:szCs w:val="21"/>
                <w:lang w:val="en-US" w:eastAsia="zh-CN"/>
              </w:rPr>
              <w:t>1</w:t>
            </w:r>
          </w:p>
        </w:tc>
      </w:tr>
      <w:tr>
        <w:tblPrEx>
          <w:tblCellMar>
            <w:top w:w="0" w:type="dxa"/>
            <w:left w:w="0" w:type="dxa"/>
            <w:bottom w:w="0" w:type="dxa"/>
            <w:right w:w="0" w:type="dxa"/>
          </w:tblCellMar>
        </w:tblPrEx>
        <w:trPr>
          <w:trHeight w:val="414" w:hRule="exact"/>
          <w:jc w:val="center"/>
        </w:trPr>
        <w:tc>
          <w:tcPr>
            <w:tcW w:w="751" w:type="dxa"/>
            <w:vMerge w:val="continue"/>
            <w:tcBorders>
              <w:top w:val="nil"/>
              <w:left w:val="single" w:color="auto" w:sz="8" w:space="0"/>
              <w:bottom w:val="single" w:color="auto" w:sz="8" w:space="0"/>
              <w:right w:val="single" w:color="auto" w:sz="8" w:space="0"/>
            </w:tcBorders>
            <w:noWrap w:val="0"/>
            <w:vAlign w:val="center"/>
          </w:tcPr>
          <w:p>
            <w:pPr>
              <w:widowControl/>
              <w:spacing w:line="240" w:lineRule="exact"/>
              <w:jc w:val="left"/>
              <w:rPr>
                <w:rFonts w:ascii="宋体" w:hAnsi="宋体" w:cs="宋体"/>
                <w:kern w:val="0"/>
                <w:sz w:val="21"/>
                <w:szCs w:val="21"/>
              </w:rPr>
            </w:pPr>
          </w:p>
        </w:tc>
        <w:tc>
          <w:tcPr>
            <w:tcW w:w="808"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（三）不予公开</w:t>
            </w:r>
          </w:p>
        </w:tc>
        <w:tc>
          <w:tcPr>
            <w:tcW w:w="370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left"/>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1.属于国家秘密</w:t>
            </w:r>
          </w:p>
        </w:tc>
        <w:tc>
          <w:tcPr>
            <w:tcW w:w="66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lang w:eastAsia="zh-CN"/>
              </w:rPr>
            </w:pPr>
            <w:r>
              <w:rPr>
                <w:rFonts w:hint="eastAsia" w:ascii="方正仿宋_GBK" w:hAnsi="方正仿宋_GBK" w:eastAsia="方正仿宋_GBK" w:cs="方正仿宋_GBK"/>
                <w:kern w:val="0"/>
                <w:sz w:val="21"/>
                <w:szCs w:val="21"/>
                <w:lang w:val="en-US" w:eastAsia="zh-CN"/>
              </w:rPr>
              <w:t>5</w:t>
            </w:r>
          </w:p>
        </w:tc>
        <w:tc>
          <w:tcPr>
            <w:tcW w:w="6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70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4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6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4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lang w:eastAsia="zh-CN"/>
              </w:rPr>
            </w:pPr>
            <w:r>
              <w:rPr>
                <w:rFonts w:hint="eastAsia" w:ascii="方正仿宋_GBK" w:hAnsi="方正仿宋_GBK" w:eastAsia="方正仿宋_GBK" w:cs="方正仿宋_GBK"/>
                <w:kern w:val="0"/>
                <w:sz w:val="21"/>
                <w:szCs w:val="21"/>
                <w:lang w:val="en-US" w:eastAsia="zh-CN"/>
              </w:rPr>
              <w:t>5</w:t>
            </w:r>
          </w:p>
        </w:tc>
      </w:tr>
      <w:tr>
        <w:tblPrEx>
          <w:tblCellMar>
            <w:top w:w="0" w:type="dxa"/>
            <w:left w:w="0" w:type="dxa"/>
            <w:bottom w:w="0" w:type="dxa"/>
            <w:right w:w="0" w:type="dxa"/>
          </w:tblCellMar>
        </w:tblPrEx>
        <w:trPr>
          <w:trHeight w:val="414" w:hRule="exact"/>
          <w:jc w:val="center"/>
        </w:trPr>
        <w:tc>
          <w:tcPr>
            <w:tcW w:w="751" w:type="dxa"/>
            <w:vMerge w:val="continue"/>
            <w:tcBorders>
              <w:top w:val="nil"/>
              <w:left w:val="single" w:color="auto" w:sz="8" w:space="0"/>
              <w:bottom w:val="single" w:color="auto" w:sz="8" w:space="0"/>
              <w:right w:val="single" w:color="auto" w:sz="8" w:space="0"/>
            </w:tcBorders>
            <w:noWrap w:val="0"/>
            <w:vAlign w:val="center"/>
          </w:tcPr>
          <w:p>
            <w:pPr>
              <w:widowControl/>
              <w:spacing w:line="240" w:lineRule="exact"/>
              <w:jc w:val="left"/>
              <w:rPr>
                <w:rFonts w:ascii="宋体" w:hAnsi="宋体" w:cs="宋体"/>
                <w:kern w:val="0"/>
                <w:sz w:val="21"/>
                <w:szCs w:val="21"/>
              </w:rPr>
            </w:pPr>
          </w:p>
        </w:tc>
        <w:tc>
          <w:tcPr>
            <w:tcW w:w="808" w:type="dxa"/>
            <w:vMerge w:val="continue"/>
            <w:tcBorders>
              <w:top w:val="nil"/>
              <w:left w:val="nil"/>
              <w:bottom w:val="single" w:color="auto" w:sz="8" w:space="0"/>
              <w:right w:val="single" w:color="auto" w:sz="8" w:space="0"/>
            </w:tcBorders>
            <w:noWrap w:val="0"/>
            <w:vAlign w:val="center"/>
          </w:tcPr>
          <w:p>
            <w:pPr>
              <w:widowControl/>
              <w:spacing w:line="240" w:lineRule="exact"/>
              <w:jc w:val="left"/>
              <w:rPr>
                <w:rFonts w:hint="eastAsia" w:ascii="方正仿宋_GBK" w:hAnsi="方正仿宋_GBK" w:eastAsia="方正仿宋_GBK" w:cs="方正仿宋_GBK"/>
                <w:kern w:val="0"/>
                <w:sz w:val="21"/>
                <w:szCs w:val="21"/>
              </w:rPr>
            </w:pPr>
          </w:p>
        </w:tc>
        <w:tc>
          <w:tcPr>
            <w:tcW w:w="370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left"/>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2.其他法律行政法规禁止</w:t>
            </w:r>
            <w:r>
              <w:rPr>
                <w:rFonts w:hint="eastAsia" w:ascii="方正仿宋_GBK" w:hAnsi="方正仿宋_GBK" w:eastAsia="方正仿宋_GBK" w:cs="方正仿宋_GBK"/>
                <w:kern w:val="0"/>
                <w:sz w:val="21"/>
                <w:szCs w:val="21"/>
                <w:lang w:eastAsia="zh-CN"/>
              </w:rPr>
              <w:t>公</w:t>
            </w:r>
            <w:r>
              <w:rPr>
                <w:rFonts w:hint="eastAsia" w:ascii="方正仿宋_GBK" w:hAnsi="方正仿宋_GBK" w:eastAsia="方正仿宋_GBK" w:cs="方正仿宋_GBK"/>
                <w:kern w:val="0"/>
                <w:sz w:val="21"/>
                <w:szCs w:val="21"/>
              </w:rPr>
              <w:t>开</w:t>
            </w:r>
          </w:p>
        </w:tc>
        <w:tc>
          <w:tcPr>
            <w:tcW w:w="66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70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4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6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4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r>
      <w:tr>
        <w:tblPrEx>
          <w:tblCellMar>
            <w:top w:w="0" w:type="dxa"/>
            <w:left w:w="0" w:type="dxa"/>
            <w:bottom w:w="0" w:type="dxa"/>
            <w:right w:w="0" w:type="dxa"/>
          </w:tblCellMar>
        </w:tblPrEx>
        <w:trPr>
          <w:trHeight w:val="414" w:hRule="exact"/>
          <w:jc w:val="center"/>
        </w:trPr>
        <w:tc>
          <w:tcPr>
            <w:tcW w:w="751" w:type="dxa"/>
            <w:vMerge w:val="continue"/>
            <w:tcBorders>
              <w:top w:val="nil"/>
              <w:left w:val="single" w:color="auto" w:sz="8" w:space="0"/>
              <w:bottom w:val="single" w:color="auto" w:sz="8" w:space="0"/>
              <w:right w:val="single" w:color="auto" w:sz="8" w:space="0"/>
            </w:tcBorders>
            <w:noWrap w:val="0"/>
            <w:vAlign w:val="center"/>
          </w:tcPr>
          <w:p>
            <w:pPr>
              <w:widowControl/>
              <w:spacing w:line="240" w:lineRule="exact"/>
              <w:jc w:val="left"/>
              <w:rPr>
                <w:rFonts w:ascii="宋体" w:hAnsi="宋体" w:cs="宋体"/>
                <w:kern w:val="0"/>
                <w:sz w:val="21"/>
                <w:szCs w:val="21"/>
              </w:rPr>
            </w:pPr>
          </w:p>
        </w:tc>
        <w:tc>
          <w:tcPr>
            <w:tcW w:w="808" w:type="dxa"/>
            <w:vMerge w:val="continue"/>
            <w:tcBorders>
              <w:top w:val="nil"/>
              <w:left w:val="nil"/>
              <w:bottom w:val="single" w:color="auto" w:sz="8" w:space="0"/>
              <w:right w:val="single" w:color="auto" w:sz="8" w:space="0"/>
            </w:tcBorders>
            <w:noWrap w:val="0"/>
            <w:vAlign w:val="center"/>
          </w:tcPr>
          <w:p>
            <w:pPr>
              <w:widowControl/>
              <w:spacing w:line="240" w:lineRule="exact"/>
              <w:jc w:val="left"/>
              <w:rPr>
                <w:rFonts w:hint="eastAsia" w:ascii="方正仿宋_GBK" w:hAnsi="方正仿宋_GBK" w:eastAsia="方正仿宋_GBK" w:cs="方正仿宋_GBK"/>
                <w:kern w:val="0"/>
                <w:sz w:val="21"/>
                <w:szCs w:val="21"/>
              </w:rPr>
            </w:pPr>
          </w:p>
        </w:tc>
        <w:tc>
          <w:tcPr>
            <w:tcW w:w="370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left"/>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3.危及“三安全一稳定”</w:t>
            </w:r>
          </w:p>
        </w:tc>
        <w:tc>
          <w:tcPr>
            <w:tcW w:w="66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70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4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6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4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r>
      <w:tr>
        <w:tblPrEx>
          <w:tblCellMar>
            <w:top w:w="0" w:type="dxa"/>
            <w:left w:w="0" w:type="dxa"/>
            <w:bottom w:w="0" w:type="dxa"/>
            <w:right w:w="0" w:type="dxa"/>
          </w:tblCellMar>
        </w:tblPrEx>
        <w:trPr>
          <w:trHeight w:val="414" w:hRule="exact"/>
          <w:jc w:val="center"/>
        </w:trPr>
        <w:tc>
          <w:tcPr>
            <w:tcW w:w="751" w:type="dxa"/>
            <w:vMerge w:val="continue"/>
            <w:tcBorders>
              <w:top w:val="nil"/>
              <w:left w:val="single" w:color="auto" w:sz="8" w:space="0"/>
              <w:bottom w:val="single" w:color="auto" w:sz="8" w:space="0"/>
              <w:right w:val="single" w:color="auto" w:sz="8" w:space="0"/>
            </w:tcBorders>
            <w:noWrap w:val="0"/>
            <w:vAlign w:val="center"/>
          </w:tcPr>
          <w:p>
            <w:pPr>
              <w:widowControl/>
              <w:spacing w:line="240" w:lineRule="exact"/>
              <w:jc w:val="left"/>
              <w:rPr>
                <w:rFonts w:ascii="宋体" w:hAnsi="宋体" w:cs="宋体"/>
                <w:kern w:val="0"/>
                <w:sz w:val="21"/>
                <w:szCs w:val="21"/>
              </w:rPr>
            </w:pPr>
          </w:p>
        </w:tc>
        <w:tc>
          <w:tcPr>
            <w:tcW w:w="808" w:type="dxa"/>
            <w:vMerge w:val="continue"/>
            <w:tcBorders>
              <w:top w:val="nil"/>
              <w:left w:val="nil"/>
              <w:bottom w:val="single" w:color="auto" w:sz="8" w:space="0"/>
              <w:right w:val="single" w:color="auto" w:sz="8" w:space="0"/>
            </w:tcBorders>
            <w:noWrap w:val="0"/>
            <w:vAlign w:val="center"/>
          </w:tcPr>
          <w:p>
            <w:pPr>
              <w:widowControl/>
              <w:spacing w:line="240" w:lineRule="exact"/>
              <w:jc w:val="left"/>
              <w:rPr>
                <w:rFonts w:hint="eastAsia" w:ascii="方正仿宋_GBK" w:hAnsi="方正仿宋_GBK" w:eastAsia="方正仿宋_GBK" w:cs="方正仿宋_GBK"/>
                <w:kern w:val="0"/>
                <w:sz w:val="21"/>
                <w:szCs w:val="21"/>
              </w:rPr>
            </w:pPr>
          </w:p>
        </w:tc>
        <w:tc>
          <w:tcPr>
            <w:tcW w:w="370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left"/>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4.保护第三方合法权益</w:t>
            </w:r>
          </w:p>
        </w:tc>
        <w:tc>
          <w:tcPr>
            <w:tcW w:w="66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70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4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6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4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r>
      <w:tr>
        <w:tblPrEx>
          <w:tblCellMar>
            <w:top w:w="0" w:type="dxa"/>
            <w:left w:w="0" w:type="dxa"/>
            <w:bottom w:w="0" w:type="dxa"/>
            <w:right w:w="0" w:type="dxa"/>
          </w:tblCellMar>
        </w:tblPrEx>
        <w:trPr>
          <w:trHeight w:val="414" w:hRule="exact"/>
          <w:jc w:val="center"/>
        </w:trPr>
        <w:tc>
          <w:tcPr>
            <w:tcW w:w="751" w:type="dxa"/>
            <w:vMerge w:val="continue"/>
            <w:tcBorders>
              <w:top w:val="nil"/>
              <w:left w:val="single" w:color="auto" w:sz="8" w:space="0"/>
              <w:bottom w:val="single" w:color="auto" w:sz="8" w:space="0"/>
              <w:right w:val="single" w:color="auto" w:sz="8" w:space="0"/>
            </w:tcBorders>
            <w:noWrap w:val="0"/>
            <w:vAlign w:val="center"/>
          </w:tcPr>
          <w:p>
            <w:pPr>
              <w:widowControl/>
              <w:spacing w:line="240" w:lineRule="exact"/>
              <w:jc w:val="left"/>
              <w:rPr>
                <w:rFonts w:ascii="宋体" w:hAnsi="宋体" w:cs="宋体"/>
                <w:kern w:val="0"/>
                <w:sz w:val="21"/>
                <w:szCs w:val="21"/>
              </w:rPr>
            </w:pPr>
          </w:p>
        </w:tc>
        <w:tc>
          <w:tcPr>
            <w:tcW w:w="808" w:type="dxa"/>
            <w:vMerge w:val="continue"/>
            <w:tcBorders>
              <w:top w:val="nil"/>
              <w:left w:val="nil"/>
              <w:bottom w:val="single" w:color="auto" w:sz="8" w:space="0"/>
              <w:right w:val="single" w:color="auto" w:sz="8" w:space="0"/>
            </w:tcBorders>
            <w:noWrap w:val="0"/>
            <w:vAlign w:val="center"/>
          </w:tcPr>
          <w:p>
            <w:pPr>
              <w:widowControl/>
              <w:spacing w:line="240" w:lineRule="exact"/>
              <w:jc w:val="left"/>
              <w:rPr>
                <w:rFonts w:hint="eastAsia" w:ascii="方正仿宋_GBK" w:hAnsi="方正仿宋_GBK" w:eastAsia="方正仿宋_GBK" w:cs="方正仿宋_GBK"/>
                <w:kern w:val="0"/>
                <w:sz w:val="21"/>
                <w:szCs w:val="21"/>
              </w:rPr>
            </w:pPr>
          </w:p>
        </w:tc>
        <w:tc>
          <w:tcPr>
            <w:tcW w:w="370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left"/>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5.属于三类内部事务信息</w:t>
            </w:r>
          </w:p>
        </w:tc>
        <w:tc>
          <w:tcPr>
            <w:tcW w:w="66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70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4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6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4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r>
      <w:tr>
        <w:tblPrEx>
          <w:tblCellMar>
            <w:top w:w="0" w:type="dxa"/>
            <w:left w:w="0" w:type="dxa"/>
            <w:bottom w:w="0" w:type="dxa"/>
            <w:right w:w="0" w:type="dxa"/>
          </w:tblCellMar>
        </w:tblPrEx>
        <w:trPr>
          <w:trHeight w:val="414" w:hRule="exact"/>
          <w:jc w:val="center"/>
        </w:trPr>
        <w:tc>
          <w:tcPr>
            <w:tcW w:w="751" w:type="dxa"/>
            <w:vMerge w:val="continue"/>
            <w:tcBorders>
              <w:top w:val="nil"/>
              <w:left w:val="single" w:color="auto" w:sz="8" w:space="0"/>
              <w:bottom w:val="single" w:color="auto" w:sz="8" w:space="0"/>
              <w:right w:val="single" w:color="auto" w:sz="8" w:space="0"/>
            </w:tcBorders>
            <w:noWrap w:val="0"/>
            <w:vAlign w:val="center"/>
          </w:tcPr>
          <w:p>
            <w:pPr>
              <w:widowControl/>
              <w:spacing w:line="240" w:lineRule="exact"/>
              <w:jc w:val="left"/>
              <w:rPr>
                <w:rFonts w:ascii="宋体" w:hAnsi="宋体" w:cs="宋体"/>
                <w:kern w:val="0"/>
                <w:sz w:val="21"/>
                <w:szCs w:val="21"/>
              </w:rPr>
            </w:pPr>
          </w:p>
        </w:tc>
        <w:tc>
          <w:tcPr>
            <w:tcW w:w="808" w:type="dxa"/>
            <w:vMerge w:val="continue"/>
            <w:tcBorders>
              <w:top w:val="nil"/>
              <w:left w:val="nil"/>
              <w:bottom w:val="single" w:color="auto" w:sz="8" w:space="0"/>
              <w:right w:val="single" w:color="auto" w:sz="8" w:space="0"/>
            </w:tcBorders>
            <w:noWrap w:val="0"/>
            <w:vAlign w:val="center"/>
          </w:tcPr>
          <w:p>
            <w:pPr>
              <w:widowControl/>
              <w:spacing w:line="240" w:lineRule="exact"/>
              <w:jc w:val="left"/>
              <w:rPr>
                <w:rFonts w:hint="eastAsia" w:ascii="方正仿宋_GBK" w:hAnsi="方正仿宋_GBK" w:eastAsia="方正仿宋_GBK" w:cs="方正仿宋_GBK"/>
                <w:kern w:val="0"/>
                <w:sz w:val="21"/>
                <w:szCs w:val="21"/>
              </w:rPr>
            </w:pPr>
          </w:p>
        </w:tc>
        <w:tc>
          <w:tcPr>
            <w:tcW w:w="370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left"/>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6.属于四类过程性信息</w:t>
            </w:r>
          </w:p>
        </w:tc>
        <w:tc>
          <w:tcPr>
            <w:tcW w:w="66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70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4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6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4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r>
      <w:tr>
        <w:tblPrEx>
          <w:tblCellMar>
            <w:top w:w="0" w:type="dxa"/>
            <w:left w:w="0" w:type="dxa"/>
            <w:bottom w:w="0" w:type="dxa"/>
            <w:right w:w="0" w:type="dxa"/>
          </w:tblCellMar>
        </w:tblPrEx>
        <w:trPr>
          <w:trHeight w:val="414" w:hRule="exact"/>
          <w:jc w:val="center"/>
        </w:trPr>
        <w:tc>
          <w:tcPr>
            <w:tcW w:w="751" w:type="dxa"/>
            <w:vMerge w:val="continue"/>
            <w:tcBorders>
              <w:top w:val="nil"/>
              <w:left w:val="single" w:color="auto" w:sz="8" w:space="0"/>
              <w:bottom w:val="single" w:color="auto" w:sz="8" w:space="0"/>
              <w:right w:val="single" w:color="auto" w:sz="8" w:space="0"/>
            </w:tcBorders>
            <w:noWrap w:val="0"/>
            <w:vAlign w:val="center"/>
          </w:tcPr>
          <w:p>
            <w:pPr>
              <w:widowControl/>
              <w:spacing w:line="240" w:lineRule="exact"/>
              <w:jc w:val="left"/>
              <w:rPr>
                <w:rFonts w:ascii="宋体" w:hAnsi="宋体" w:cs="宋体"/>
                <w:kern w:val="0"/>
                <w:sz w:val="21"/>
                <w:szCs w:val="21"/>
              </w:rPr>
            </w:pPr>
          </w:p>
        </w:tc>
        <w:tc>
          <w:tcPr>
            <w:tcW w:w="808" w:type="dxa"/>
            <w:vMerge w:val="continue"/>
            <w:tcBorders>
              <w:top w:val="nil"/>
              <w:left w:val="nil"/>
              <w:bottom w:val="single" w:color="auto" w:sz="8" w:space="0"/>
              <w:right w:val="single" w:color="auto" w:sz="8" w:space="0"/>
            </w:tcBorders>
            <w:noWrap w:val="0"/>
            <w:vAlign w:val="center"/>
          </w:tcPr>
          <w:p>
            <w:pPr>
              <w:widowControl/>
              <w:spacing w:line="240" w:lineRule="exact"/>
              <w:jc w:val="left"/>
              <w:rPr>
                <w:rFonts w:hint="eastAsia" w:ascii="方正仿宋_GBK" w:hAnsi="方正仿宋_GBK" w:eastAsia="方正仿宋_GBK" w:cs="方正仿宋_GBK"/>
                <w:kern w:val="0"/>
                <w:sz w:val="21"/>
                <w:szCs w:val="21"/>
              </w:rPr>
            </w:pPr>
          </w:p>
        </w:tc>
        <w:tc>
          <w:tcPr>
            <w:tcW w:w="370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left"/>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7.属于行政执法案卷</w:t>
            </w:r>
          </w:p>
        </w:tc>
        <w:tc>
          <w:tcPr>
            <w:tcW w:w="66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70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4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6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4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r>
      <w:tr>
        <w:tblPrEx>
          <w:tblCellMar>
            <w:top w:w="0" w:type="dxa"/>
            <w:left w:w="0" w:type="dxa"/>
            <w:bottom w:w="0" w:type="dxa"/>
            <w:right w:w="0" w:type="dxa"/>
          </w:tblCellMar>
        </w:tblPrEx>
        <w:trPr>
          <w:trHeight w:val="414" w:hRule="exact"/>
          <w:jc w:val="center"/>
        </w:trPr>
        <w:tc>
          <w:tcPr>
            <w:tcW w:w="751" w:type="dxa"/>
            <w:vMerge w:val="continue"/>
            <w:tcBorders>
              <w:top w:val="nil"/>
              <w:left w:val="single" w:color="auto" w:sz="8" w:space="0"/>
              <w:bottom w:val="single" w:color="auto" w:sz="8" w:space="0"/>
              <w:right w:val="single" w:color="auto" w:sz="8" w:space="0"/>
            </w:tcBorders>
            <w:noWrap w:val="0"/>
            <w:vAlign w:val="center"/>
          </w:tcPr>
          <w:p>
            <w:pPr>
              <w:widowControl/>
              <w:spacing w:line="240" w:lineRule="exact"/>
              <w:jc w:val="left"/>
              <w:rPr>
                <w:rFonts w:ascii="宋体" w:hAnsi="宋体" w:cs="宋体"/>
                <w:kern w:val="0"/>
                <w:sz w:val="21"/>
                <w:szCs w:val="21"/>
              </w:rPr>
            </w:pPr>
          </w:p>
        </w:tc>
        <w:tc>
          <w:tcPr>
            <w:tcW w:w="808" w:type="dxa"/>
            <w:vMerge w:val="continue"/>
            <w:tcBorders>
              <w:top w:val="nil"/>
              <w:left w:val="nil"/>
              <w:bottom w:val="single" w:color="auto" w:sz="8" w:space="0"/>
              <w:right w:val="single" w:color="auto" w:sz="8" w:space="0"/>
            </w:tcBorders>
            <w:noWrap w:val="0"/>
            <w:vAlign w:val="center"/>
          </w:tcPr>
          <w:p>
            <w:pPr>
              <w:widowControl/>
              <w:spacing w:line="240" w:lineRule="exact"/>
              <w:jc w:val="left"/>
              <w:rPr>
                <w:rFonts w:hint="eastAsia" w:ascii="方正仿宋_GBK" w:hAnsi="方正仿宋_GBK" w:eastAsia="方正仿宋_GBK" w:cs="方正仿宋_GBK"/>
                <w:kern w:val="0"/>
                <w:sz w:val="21"/>
                <w:szCs w:val="21"/>
              </w:rPr>
            </w:pPr>
          </w:p>
        </w:tc>
        <w:tc>
          <w:tcPr>
            <w:tcW w:w="370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left"/>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8.属于行政查询事项</w:t>
            </w:r>
          </w:p>
        </w:tc>
        <w:tc>
          <w:tcPr>
            <w:tcW w:w="66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70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4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6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4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r>
      <w:tr>
        <w:tblPrEx>
          <w:tblCellMar>
            <w:top w:w="0" w:type="dxa"/>
            <w:left w:w="0" w:type="dxa"/>
            <w:bottom w:w="0" w:type="dxa"/>
            <w:right w:w="0" w:type="dxa"/>
          </w:tblCellMar>
        </w:tblPrEx>
        <w:trPr>
          <w:trHeight w:val="414" w:hRule="exact"/>
          <w:jc w:val="center"/>
        </w:trPr>
        <w:tc>
          <w:tcPr>
            <w:tcW w:w="751" w:type="dxa"/>
            <w:vMerge w:val="continue"/>
            <w:tcBorders>
              <w:top w:val="nil"/>
              <w:left w:val="single" w:color="auto" w:sz="8" w:space="0"/>
              <w:bottom w:val="single" w:color="auto" w:sz="8" w:space="0"/>
              <w:right w:val="single" w:color="auto" w:sz="8" w:space="0"/>
            </w:tcBorders>
            <w:noWrap w:val="0"/>
            <w:vAlign w:val="center"/>
          </w:tcPr>
          <w:p>
            <w:pPr>
              <w:widowControl/>
              <w:spacing w:line="240" w:lineRule="exact"/>
              <w:jc w:val="left"/>
              <w:rPr>
                <w:rFonts w:ascii="宋体" w:hAnsi="宋体" w:cs="宋体"/>
                <w:kern w:val="0"/>
                <w:sz w:val="21"/>
                <w:szCs w:val="21"/>
              </w:rPr>
            </w:pPr>
          </w:p>
        </w:tc>
        <w:tc>
          <w:tcPr>
            <w:tcW w:w="808"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（四）无法提供</w:t>
            </w:r>
          </w:p>
        </w:tc>
        <w:tc>
          <w:tcPr>
            <w:tcW w:w="370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left"/>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1.本机关不掌握相关政府信息</w:t>
            </w:r>
          </w:p>
        </w:tc>
        <w:tc>
          <w:tcPr>
            <w:tcW w:w="66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default" w:ascii="方正仿宋_GBK" w:hAnsi="方正仿宋_GBK" w:eastAsia="方正仿宋_GBK" w:cs="方正仿宋_GBK"/>
                <w:kern w:val="0"/>
                <w:sz w:val="21"/>
                <w:szCs w:val="21"/>
                <w:lang w:val="en-US" w:eastAsia="zh-CN"/>
              </w:rPr>
            </w:pPr>
            <w:r>
              <w:rPr>
                <w:rFonts w:hint="eastAsia" w:ascii="方正仿宋_GBK" w:hAnsi="方正仿宋_GBK" w:eastAsia="方正仿宋_GBK" w:cs="方正仿宋_GBK"/>
                <w:kern w:val="0"/>
                <w:sz w:val="21"/>
                <w:szCs w:val="21"/>
                <w:lang w:val="en-US" w:eastAsia="zh-CN"/>
              </w:rPr>
              <w:t>20</w:t>
            </w:r>
          </w:p>
        </w:tc>
        <w:tc>
          <w:tcPr>
            <w:tcW w:w="6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70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4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6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4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default" w:ascii="方正仿宋_GBK" w:hAnsi="方正仿宋_GBK" w:eastAsia="方正仿宋_GBK" w:cs="方正仿宋_GBK"/>
                <w:kern w:val="0"/>
                <w:sz w:val="21"/>
                <w:szCs w:val="21"/>
                <w:lang w:val="en-US" w:eastAsia="zh-CN"/>
              </w:rPr>
            </w:pPr>
            <w:r>
              <w:rPr>
                <w:rFonts w:hint="eastAsia" w:ascii="方正仿宋_GBK" w:hAnsi="方正仿宋_GBK" w:eastAsia="方正仿宋_GBK" w:cs="方正仿宋_GBK"/>
                <w:kern w:val="0"/>
                <w:sz w:val="21"/>
                <w:szCs w:val="21"/>
                <w:lang w:val="en-US" w:eastAsia="zh-CN"/>
              </w:rPr>
              <w:t>20</w:t>
            </w:r>
          </w:p>
        </w:tc>
      </w:tr>
      <w:tr>
        <w:tblPrEx>
          <w:tblCellMar>
            <w:top w:w="0" w:type="dxa"/>
            <w:left w:w="0" w:type="dxa"/>
            <w:bottom w:w="0" w:type="dxa"/>
            <w:right w:w="0" w:type="dxa"/>
          </w:tblCellMar>
        </w:tblPrEx>
        <w:trPr>
          <w:trHeight w:val="414" w:hRule="exact"/>
          <w:jc w:val="center"/>
        </w:trPr>
        <w:tc>
          <w:tcPr>
            <w:tcW w:w="751" w:type="dxa"/>
            <w:vMerge w:val="continue"/>
            <w:tcBorders>
              <w:top w:val="nil"/>
              <w:left w:val="single" w:color="auto" w:sz="8" w:space="0"/>
              <w:bottom w:val="single" w:color="auto" w:sz="8" w:space="0"/>
              <w:right w:val="single" w:color="auto" w:sz="8" w:space="0"/>
            </w:tcBorders>
            <w:noWrap w:val="0"/>
            <w:vAlign w:val="center"/>
          </w:tcPr>
          <w:p>
            <w:pPr>
              <w:widowControl/>
              <w:spacing w:line="240" w:lineRule="exact"/>
              <w:jc w:val="left"/>
              <w:rPr>
                <w:rFonts w:ascii="宋体" w:hAnsi="宋体" w:cs="宋体"/>
                <w:kern w:val="0"/>
                <w:sz w:val="21"/>
                <w:szCs w:val="21"/>
              </w:rPr>
            </w:pPr>
          </w:p>
        </w:tc>
        <w:tc>
          <w:tcPr>
            <w:tcW w:w="808" w:type="dxa"/>
            <w:vMerge w:val="continue"/>
            <w:tcBorders>
              <w:top w:val="nil"/>
              <w:left w:val="nil"/>
              <w:bottom w:val="single" w:color="auto" w:sz="8" w:space="0"/>
              <w:right w:val="single" w:color="auto" w:sz="8" w:space="0"/>
            </w:tcBorders>
            <w:noWrap w:val="0"/>
            <w:vAlign w:val="center"/>
          </w:tcPr>
          <w:p>
            <w:pPr>
              <w:widowControl/>
              <w:spacing w:line="240" w:lineRule="exact"/>
              <w:jc w:val="left"/>
              <w:rPr>
                <w:rFonts w:hint="eastAsia" w:ascii="方正仿宋_GBK" w:hAnsi="方正仿宋_GBK" w:eastAsia="方正仿宋_GBK" w:cs="方正仿宋_GBK"/>
                <w:kern w:val="0"/>
                <w:sz w:val="21"/>
                <w:szCs w:val="21"/>
              </w:rPr>
            </w:pPr>
          </w:p>
        </w:tc>
        <w:tc>
          <w:tcPr>
            <w:tcW w:w="370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left"/>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2.没有现成信息需要另行制作</w:t>
            </w:r>
          </w:p>
        </w:tc>
        <w:tc>
          <w:tcPr>
            <w:tcW w:w="66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70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4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6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4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r>
      <w:tr>
        <w:tblPrEx>
          <w:tblCellMar>
            <w:top w:w="0" w:type="dxa"/>
            <w:left w:w="0" w:type="dxa"/>
            <w:bottom w:w="0" w:type="dxa"/>
            <w:right w:w="0" w:type="dxa"/>
          </w:tblCellMar>
        </w:tblPrEx>
        <w:trPr>
          <w:trHeight w:val="414" w:hRule="exact"/>
          <w:jc w:val="center"/>
        </w:trPr>
        <w:tc>
          <w:tcPr>
            <w:tcW w:w="751" w:type="dxa"/>
            <w:vMerge w:val="continue"/>
            <w:tcBorders>
              <w:top w:val="nil"/>
              <w:left w:val="single" w:color="auto" w:sz="8" w:space="0"/>
              <w:bottom w:val="single" w:color="auto" w:sz="8" w:space="0"/>
              <w:right w:val="single" w:color="auto" w:sz="8" w:space="0"/>
            </w:tcBorders>
            <w:noWrap w:val="0"/>
            <w:vAlign w:val="center"/>
          </w:tcPr>
          <w:p>
            <w:pPr>
              <w:widowControl/>
              <w:spacing w:line="240" w:lineRule="exact"/>
              <w:jc w:val="left"/>
              <w:rPr>
                <w:rFonts w:ascii="宋体" w:hAnsi="宋体" w:cs="宋体"/>
                <w:kern w:val="0"/>
                <w:sz w:val="21"/>
                <w:szCs w:val="21"/>
              </w:rPr>
            </w:pPr>
          </w:p>
        </w:tc>
        <w:tc>
          <w:tcPr>
            <w:tcW w:w="808" w:type="dxa"/>
            <w:vMerge w:val="continue"/>
            <w:tcBorders>
              <w:top w:val="nil"/>
              <w:left w:val="nil"/>
              <w:bottom w:val="single" w:color="auto" w:sz="8" w:space="0"/>
              <w:right w:val="single" w:color="auto" w:sz="8" w:space="0"/>
            </w:tcBorders>
            <w:noWrap w:val="0"/>
            <w:vAlign w:val="center"/>
          </w:tcPr>
          <w:p>
            <w:pPr>
              <w:widowControl/>
              <w:spacing w:line="240" w:lineRule="exact"/>
              <w:jc w:val="left"/>
              <w:rPr>
                <w:rFonts w:hint="eastAsia" w:ascii="方正仿宋_GBK" w:hAnsi="方正仿宋_GBK" w:eastAsia="方正仿宋_GBK" w:cs="方正仿宋_GBK"/>
                <w:kern w:val="0"/>
                <w:sz w:val="21"/>
                <w:szCs w:val="21"/>
              </w:rPr>
            </w:pPr>
          </w:p>
        </w:tc>
        <w:tc>
          <w:tcPr>
            <w:tcW w:w="370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left"/>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3.补正后申请内容仍不明确</w:t>
            </w:r>
          </w:p>
        </w:tc>
        <w:tc>
          <w:tcPr>
            <w:tcW w:w="66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70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4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6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4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r>
      <w:tr>
        <w:tblPrEx>
          <w:tblCellMar>
            <w:top w:w="0" w:type="dxa"/>
            <w:left w:w="0" w:type="dxa"/>
            <w:bottom w:w="0" w:type="dxa"/>
            <w:right w:w="0" w:type="dxa"/>
          </w:tblCellMar>
        </w:tblPrEx>
        <w:trPr>
          <w:trHeight w:val="414" w:hRule="exact"/>
          <w:jc w:val="center"/>
        </w:trPr>
        <w:tc>
          <w:tcPr>
            <w:tcW w:w="751" w:type="dxa"/>
            <w:vMerge w:val="continue"/>
            <w:tcBorders>
              <w:top w:val="nil"/>
              <w:left w:val="single" w:color="auto" w:sz="8" w:space="0"/>
              <w:bottom w:val="single" w:color="auto" w:sz="8" w:space="0"/>
              <w:right w:val="single" w:color="auto" w:sz="8" w:space="0"/>
            </w:tcBorders>
            <w:noWrap w:val="0"/>
            <w:vAlign w:val="center"/>
          </w:tcPr>
          <w:p>
            <w:pPr>
              <w:widowControl/>
              <w:spacing w:line="240" w:lineRule="exact"/>
              <w:jc w:val="left"/>
              <w:rPr>
                <w:rFonts w:ascii="宋体" w:hAnsi="宋体" w:cs="宋体"/>
                <w:kern w:val="0"/>
                <w:sz w:val="21"/>
                <w:szCs w:val="21"/>
              </w:rPr>
            </w:pPr>
          </w:p>
        </w:tc>
        <w:tc>
          <w:tcPr>
            <w:tcW w:w="808"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（五）不予处理</w:t>
            </w:r>
          </w:p>
        </w:tc>
        <w:tc>
          <w:tcPr>
            <w:tcW w:w="370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left"/>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1.信访举报投诉类申请</w:t>
            </w:r>
          </w:p>
        </w:tc>
        <w:tc>
          <w:tcPr>
            <w:tcW w:w="66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70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4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6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4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r>
      <w:tr>
        <w:tblPrEx>
          <w:tblCellMar>
            <w:top w:w="0" w:type="dxa"/>
            <w:left w:w="0" w:type="dxa"/>
            <w:bottom w:w="0" w:type="dxa"/>
            <w:right w:w="0" w:type="dxa"/>
          </w:tblCellMar>
        </w:tblPrEx>
        <w:trPr>
          <w:trHeight w:val="414" w:hRule="exact"/>
          <w:jc w:val="center"/>
        </w:trPr>
        <w:tc>
          <w:tcPr>
            <w:tcW w:w="751" w:type="dxa"/>
            <w:vMerge w:val="continue"/>
            <w:tcBorders>
              <w:top w:val="nil"/>
              <w:left w:val="single" w:color="auto" w:sz="8" w:space="0"/>
              <w:bottom w:val="single" w:color="auto" w:sz="8" w:space="0"/>
              <w:right w:val="single" w:color="auto" w:sz="8" w:space="0"/>
            </w:tcBorders>
            <w:noWrap w:val="0"/>
            <w:vAlign w:val="center"/>
          </w:tcPr>
          <w:p>
            <w:pPr>
              <w:widowControl/>
              <w:spacing w:line="240" w:lineRule="exact"/>
              <w:jc w:val="left"/>
              <w:rPr>
                <w:rFonts w:ascii="宋体" w:hAnsi="宋体" w:cs="宋体"/>
                <w:kern w:val="0"/>
                <w:sz w:val="21"/>
                <w:szCs w:val="21"/>
              </w:rPr>
            </w:pPr>
          </w:p>
        </w:tc>
        <w:tc>
          <w:tcPr>
            <w:tcW w:w="808" w:type="dxa"/>
            <w:vMerge w:val="continue"/>
            <w:tcBorders>
              <w:top w:val="nil"/>
              <w:left w:val="nil"/>
              <w:bottom w:val="single" w:color="auto" w:sz="8" w:space="0"/>
              <w:right w:val="single" w:color="auto" w:sz="8" w:space="0"/>
            </w:tcBorders>
            <w:noWrap w:val="0"/>
            <w:vAlign w:val="center"/>
          </w:tcPr>
          <w:p>
            <w:pPr>
              <w:widowControl/>
              <w:spacing w:line="240" w:lineRule="exact"/>
              <w:jc w:val="left"/>
              <w:rPr>
                <w:rFonts w:hint="eastAsia" w:ascii="方正仿宋_GBK" w:hAnsi="方正仿宋_GBK" w:eastAsia="方正仿宋_GBK" w:cs="方正仿宋_GBK"/>
                <w:kern w:val="0"/>
                <w:sz w:val="21"/>
                <w:szCs w:val="21"/>
              </w:rPr>
            </w:pPr>
          </w:p>
        </w:tc>
        <w:tc>
          <w:tcPr>
            <w:tcW w:w="370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left"/>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2.重复申请</w:t>
            </w:r>
          </w:p>
        </w:tc>
        <w:tc>
          <w:tcPr>
            <w:tcW w:w="66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70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4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6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4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r>
      <w:tr>
        <w:tblPrEx>
          <w:tblCellMar>
            <w:top w:w="0" w:type="dxa"/>
            <w:left w:w="0" w:type="dxa"/>
            <w:bottom w:w="0" w:type="dxa"/>
            <w:right w:w="0" w:type="dxa"/>
          </w:tblCellMar>
        </w:tblPrEx>
        <w:trPr>
          <w:trHeight w:val="414" w:hRule="exact"/>
          <w:jc w:val="center"/>
        </w:trPr>
        <w:tc>
          <w:tcPr>
            <w:tcW w:w="751" w:type="dxa"/>
            <w:vMerge w:val="continue"/>
            <w:tcBorders>
              <w:top w:val="nil"/>
              <w:left w:val="single" w:color="auto" w:sz="8" w:space="0"/>
              <w:bottom w:val="single" w:color="auto" w:sz="8" w:space="0"/>
              <w:right w:val="single" w:color="auto" w:sz="8" w:space="0"/>
            </w:tcBorders>
            <w:noWrap w:val="0"/>
            <w:vAlign w:val="center"/>
          </w:tcPr>
          <w:p>
            <w:pPr>
              <w:widowControl/>
              <w:spacing w:line="240" w:lineRule="exact"/>
              <w:jc w:val="left"/>
              <w:rPr>
                <w:rFonts w:ascii="宋体" w:hAnsi="宋体" w:cs="宋体"/>
                <w:kern w:val="0"/>
                <w:sz w:val="21"/>
                <w:szCs w:val="21"/>
              </w:rPr>
            </w:pPr>
          </w:p>
        </w:tc>
        <w:tc>
          <w:tcPr>
            <w:tcW w:w="808" w:type="dxa"/>
            <w:vMerge w:val="continue"/>
            <w:tcBorders>
              <w:top w:val="nil"/>
              <w:left w:val="nil"/>
              <w:bottom w:val="single" w:color="auto" w:sz="8" w:space="0"/>
              <w:right w:val="single" w:color="auto" w:sz="8" w:space="0"/>
            </w:tcBorders>
            <w:noWrap w:val="0"/>
            <w:vAlign w:val="center"/>
          </w:tcPr>
          <w:p>
            <w:pPr>
              <w:widowControl/>
              <w:spacing w:line="240" w:lineRule="exact"/>
              <w:jc w:val="left"/>
              <w:rPr>
                <w:rFonts w:hint="eastAsia" w:ascii="方正仿宋_GBK" w:hAnsi="方正仿宋_GBK" w:eastAsia="方正仿宋_GBK" w:cs="方正仿宋_GBK"/>
                <w:kern w:val="0"/>
                <w:sz w:val="21"/>
                <w:szCs w:val="21"/>
              </w:rPr>
            </w:pPr>
          </w:p>
        </w:tc>
        <w:tc>
          <w:tcPr>
            <w:tcW w:w="370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left"/>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3.要求提供公开出版物</w:t>
            </w:r>
          </w:p>
        </w:tc>
        <w:tc>
          <w:tcPr>
            <w:tcW w:w="66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70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4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6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4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r>
      <w:tr>
        <w:tblPrEx>
          <w:tblCellMar>
            <w:top w:w="0" w:type="dxa"/>
            <w:left w:w="0" w:type="dxa"/>
            <w:bottom w:w="0" w:type="dxa"/>
            <w:right w:w="0" w:type="dxa"/>
          </w:tblCellMar>
        </w:tblPrEx>
        <w:trPr>
          <w:trHeight w:val="414" w:hRule="exact"/>
          <w:jc w:val="center"/>
        </w:trPr>
        <w:tc>
          <w:tcPr>
            <w:tcW w:w="751" w:type="dxa"/>
            <w:vMerge w:val="continue"/>
            <w:tcBorders>
              <w:top w:val="nil"/>
              <w:left w:val="single" w:color="auto" w:sz="8" w:space="0"/>
              <w:bottom w:val="single" w:color="auto" w:sz="8" w:space="0"/>
              <w:right w:val="single" w:color="auto" w:sz="8" w:space="0"/>
            </w:tcBorders>
            <w:noWrap w:val="0"/>
            <w:vAlign w:val="center"/>
          </w:tcPr>
          <w:p>
            <w:pPr>
              <w:widowControl/>
              <w:spacing w:line="240" w:lineRule="exact"/>
              <w:jc w:val="left"/>
              <w:rPr>
                <w:rFonts w:ascii="宋体" w:hAnsi="宋体" w:cs="宋体"/>
                <w:kern w:val="0"/>
                <w:sz w:val="21"/>
                <w:szCs w:val="21"/>
              </w:rPr>
            </w:pPr>
          </w:p>
        </w:tc>
        <w:tc>
          <w:tcPr>
            <w:tcW w:w="808" w:type="dxa"/>
            <w:vMerge w:val="continue"/>
            <w:tcBorders>
              <w:top w:val="nil"/>
              <w:left w:val="nil"/>
              <w:bottom w:val="single" w:color="auto" w:sz="8" w:space="0"/>
              <w:right w:val="single" w:color="auto" w:sz="8" w:space="0"/>
            </w:tcBorders>
            <w:noWrap w:val="0"/>
            <w:vAlign w:val="center"/>
          </w:tcPr>
          <w:p>
            <w:pPr>
              <w:widowControl/>
              <w:spacing w:line="240" w:lineRule="exact"/>
              <w:jc w:val="left"/>
              <w:rPr>
                <w:rFonts w:hint="eastAsia" w:ascii="方正仿宋_GBK" w:hAnsi="方正仿宋_GBK" w:eastAsia="方正仿宋_GBK" w:cs="方正仿宋_GBK"/>
                <w:kern w:val="0"/>
                <w:sz w:val="21"/>
                <w:szCs w:val="21"/>
              </w:rPr>
            </w:pPr>
          </w:p>
        </w:tc>
        <w:tc>
          <w:tcPr>
            <w:tcW w:w="370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left"/>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4.无正当理由大量反复申请</w:t>
            </w:r>
          </w:p>
        </w:tc>
        <w:tc>
          <w:tcPr>
            <w:tcW w:w="66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70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4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6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4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r>
      <w:tr>
        <w:tblPrEx>
          <w:tblCellMar>
            <w:top w:w="0" w:type="dxa"/>
            <w:left w:w="0" w:type="dxa"/>
            <w:bottom w:w="0" w:type="dxa"/>
            <w:right w:w="0" w:type="dxa"/>
          </w:tblCellMar>
        </w:tblPrEx>
        <w:trPr>
          <w:trHeight w:val="561" w:hRule="exact"/>
          <w:jc w:val="center"/>
        </w:trPr>
        <w:tc>
          <w:tcPr>
            <w:tcW w:w="751" w:type="dxa"/>
            <w:vMerge w:val="continue"/>
            <w:tcBorders>
              <w:top w:val="nil"/>
              <w:left w:val="single" w:color="auto" w:sz="8" w:space="0"/>
              <w:bottom w:val="single" w:color="auto" w:sz="8" w:space="0"/>
              <w:right w:val="single" w:color="auto" w:sz="8" w:space="0"/>
            </w:tcBorders>
            <w:noWrap w:val="0"/>
            <w:vAlign w:val="center"/>
          </w:tcPr>
          <w:p>
            <w:pPr>
              <w:widowControl/>
              <w:spacing w:line="240" w:lineRule="exact"/>
              <w:jc w:val="left"/>
              <w:rPr>
                <w:rFonts w:ascii="宋体" w:hAnsi="宋体" w:cs="宋体"/>
                <w:kern w:val="0"/>
                <w:sz w:val="21"/>
                <w:szCs w:val="21"/>
              </w:rPr>
            </w:pPr>
          </w:p>
        </w:tc>
        <w:tc>
          <w:tcPr>
            <w:tcW w:w="808" w:type="dxa"/>
            <w:vMerge w:val="continue"/>
            <w:tcBorders>
              <w:top w:val="nil"/>
              <w:left w:val="nil"/>
              <w:bottom w:val="single" w:color="auto" w:sz="8" w:space="0"/>
              <w:right w:val="single" w:color="auto" w:sz="8" w:space="0"/>
            </w:tcBorders>
            <w:noWrap w:val="0"/>
            <w:vAlign w:val="center"/>
          </w:tcPr>
          <w:p>
            <w:pPr>
              <w:widowControl/>
              <w:spacing w:line="240" w:lineRule="exact"/>
              <w:jc w:val="left"/>
              <w:rPr>
                <w:rFonts w:hint="eastAsia" w:ascii="方正仿宋_GBK" w:hAnsi="方正仿宋_GBK" w:eastAsia="方正仿宋_GBK" w:cs="方正仿宋_GBK"/>
                <w:kern w:val="0"/>
                <w:sz w:val="21"/>
                <w:szCs w:val="21"/>
              </w:rPr>
            </w:pPr>
          </w:p>
        </w:tc>
        <w:tc>
          <w:tcPr>
            <w:tcW w:w="370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left"/>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5.要求行政机关确认或重新出具已获取信息</w:t>
            </w:r>
          </w:p>
        </w:tc>
        <w:tc>
          <w:tcPr>
            <w:tcW w:w="66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70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4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6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4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r>
      <w:tr>
        <w:tblPrEx>
          <w:tblCellMar>
            <w:top w:w="0" w:type="dxa"/>
            <w:left w:w="0" w:type="dxa"/>
            <w:bottom w:w="0" w:type="dxa"/>
            <w:right w:w="0" w:type="dxa"/>
          </w:tblCellMar>
        </w:tblPrEx>
        <w:trPr>
          <w:trHeight w:val="585" w:hRule="exact"/>
          <w:jc w:val="center"/>
        </w:trPr>
        <w:tc>
          <w:tcPr>
            <w:tcW w:w="751" w:type="dxa"/>
            <w:vMerge w:val="continue"/>
            <w:tcBorders>
              <w:top w:val="nil"/>
              <w:left w:val="single" w:color="auto" w:sz="8" w:space="0"/>
              <w:bottom w:val="single" w:color="auto" w:sz="8" w:space="0"/>
              <w:right w:val="single" w:color="auto" w:sz="8" w:space="0"/>
            </w:tcBorders>
            <w:noWrap w:val="0"/>
            <w:vAlign w:val="center"/>
          </w:tcPr>
          <w:p>
            <w:pPr>
              <w:widowControl/>
              <w:spacing w:line="240" w:lineRule="exact"/>
              <w:jc w:val="left"/>
              <w:rPr>
                <w:rFonts w:ascii="宋体" w:hAnsi="宋体" w:cs="宋体"/>
                <w:kern w:val="0"/>
                <w:sz w:val="21"/>
                <w:szCs w:val="21"/>
              </w:rPr>
            </w:pPr>
          </w:p>
        </w:tc>
        <w:tc>
          <w:tcPr>
            <w:tcW w:w="808" w:type="dxa"/>
            <w:vMerge w:val="restart"/>
            <w:tcBorders>
              <w:top w:val="nil"/>
              <w:left w:val="nil"/>
              <w:right w:val="single" w:color="auto" w:sz="4" w:space="0"/>
            </w:tcBorders>
            <w:noWrap w:val="0"/>
            <w:tcMar>
              <w:top w:w="0" w:type="dxa"/>
              <w:left w:w="108" w:type="dxa"/>
              <w:bottom w:w="0" w:type="dxa"/>
              <w:right w:w="108" w:type="dxa"/>
            </w:tcMar>
            <w:vAlign w:val="center"/>
          </w:tcPr>
          <w:p>
            <w:pPr>
              <w:widowControl/>
              <w:spacing w:line="240" w:lineRule="exact"/>
              <w:jc w:val="left"/>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（六）其他处理</w:t>
            </w:r>
          </w:p>
        </w:tc>
        <w:tc>
          <w:tcPr>
            <w:tcW w:w="3700" w:type="dxa"/>
            <w:tcBorders>
              <w:top w:val="nil"/>
              <w:left w:val="single" w:color="auto" w:sz="4" w:space="0"/>
              <w:bottom w:val="single" w:color="auto" w:sz="4" w:space="0"/>
              <w:right w:val="single" w:color="auto" w:sz="8" w:space="0"/>
            </w:tcBorders>
            <w:noWrap w:val="0"/>
            <w:tcMar>
              <w:top w:w="0" w:type="dxa"/>
              <w:left w:w="108" w:type="dxa"/>
              <w:bottom w:w="0" w:type="dxa"/>
              <w:right w:w="108" w:type="dxa"/>
            </w:tcMar>
            <w:vAlign w:val="center"/>
          </w:tcPr>
          <w:p>
            <w:pPr>
              <w:widowControl/>
              <w:spacing w:line="240" w:lineRule="exact"/>
              <w:jc w:val="left"/>
              <w:rPr>
                <w:rFonts w:hint="eastAsia" w:ascii="方正仿宋_GBK" w:hAnsi="方正仿宋_GBK" w:eastAsia="方正仿宋_GBK" w:cs="方正仿宋_GBK"/>
                <w:kern w:val="0"/>
                <w:sz w:val="21"/>
                <w:szCs w:val="21"/>
                <w:lang w:val="en-US" w:eastAsia="zh-CN"/>
              </w:rPr>
            </w:pPr>
            <w:r>
              <w:rPr>
                <w:rFonts w:hint="eastAsia" w:ascii="方正仿宋_GBK" w:hAnsi="方正仿宋_GBK" w:eastAsia="方正仿宋_GBK" w:cs="方正仿宋_GBK"/>
                <w:kern w:val="0"/>
                <w:sz w:val="21"/>
                <w:szCs w:val="21"/>
                <w:lang w:val="en-US" w:eastAsia="zh-CN"/>
              </w:rPr>
              <w:t>1.申请人无正当理由逾期不补正、行政机关不再处理其政府信息公开申请</w:t>
            </w:r>
          </w:p>
        </w:tc>
        <w:tc>
          <w:tcPr>
            <w:tcW w:w="669"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58"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58"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703"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47"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69"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46"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r>
      <w:tr>
        <w:tblPrEx>
          <w:tblCellMar>
            <w:top w:w="0" w:type="dxa"/>
            <w:left w:w="0" w:type="dxa"/>
            <w:bottom w:w="0" w:type="dxa"/>
            <w:right w:w="0" w:type="dxa"/>
          </w:tblCellMar>
        </w:tblPrEx>
        <w:trPr>
          <w:trHeight w:val="731" w:hRule="exact"/>
          <w:jc w:val="center"/>
        </w:trPr>
        <w:tc>
          <w:tcPr>
            <w:tcW w:w="751" w:type="dxa"/>
            <w:vMerge w:val="continue"/>
            <w:tcBorders>
              <w:top w:val="nil"/>
              <w:left w:val="single" w:color="auto" w:sz="8" w:space="0"/>
              <w:bottom w:val="single" w:color="auto" w:sz="8" w:space="0"/>
              <w:right w:val="single" w:color="auto" w:sz="8" w:space="0"/>
            </w:tcBorders>
            <w:noWrap w:val="0"/>
            <w:vAlign w:val="center"/>
          </w:tcPr>
          <w:p>
            <w:pPr>
              <w:widowControl/>
              <w:spacing w:line="240" w:lineRule="exact"/>
              <w:jc w:val="left"/>
              <w:rPr>
                <w:rFonts w:ascii="宋体" w:hAnsi="宋体" w:cs="宋体"/>
                <w:kern w:val="0"/>
                <w:sz w:val="21"/>
                <w:szCs w:val="21"/>
              </w:rPr>
            </w:pPr>
          </w:p>
        </w:tc>
        <w:tc>
          <w:tcPr>
            <w:tcW w:w="808" w:type="dxa"/>
            <w:vMerge w:val="continue"/>
            <w:tcBorders>
              <w:left w:val="nil"/>
              <w:bottom w:val="single" w:color="auto" w:sz="8" w:space="0"/>
              <w:right w:val="single" w:color="auto" w:sz="4" w:space="0"/>
            </w:tcBorders>
            <w:noWrap w:val="0"/>
            <w:tcMar>
              <w:top w:w="0" w:type="dxa"/>
              <w:left w:w="108" w:type="dxa"/>
              <w:bottom w:w="0" w:type="dxa"/>
              <w:right w:w="108" w:type="dxa"/>
            </w:tcMar>
            <w:vAlign w:val="center"/>
          </w:tcPr>
          <w:p>
            <w:pPr>
              <w:widowControl/>
              <w:spacing w:line="240" w:lineRule="exact"/>
              <w:jc w:val="left"/>
              <w:rPr>
                <w:rFonts w:hint="eastAsia" w:ascii="方正仿宋_GBK" w:hAnsi="方正仿宋_GBK" w:eastAsia="方正仿宋_GBK" w:cs="方正仿宋_GBK"/>
                <w:kern w:val="0"/>
                <w:sz w:val="21"/>
                <w:szCs w:val="21"/>
              </w:rPr>
            </w:pPr>
          </w:p>
        </w:tc>
        <w:tc>
          <w:tcPr>
            <w:tcW w:w="3700" w:type="dxa"/>
            <w:tcBorders>
              <w:top w:val="single" w:color="auto" w:sz="4" w:space="0"/>
              <w:left w:val="single" w:color="auto" w:sz="4" w:space="0"/>
              <w:bottom w:val="single" w:color="auto" w:sz="4" w:space="0"/>
              <w:right w:val="single" w:color="auto" w:sz="8" w:space="0"/>
            </w:tcBorders>
            <w:noWrap w:val="0"/>
            <w:tcMar>
              <w:top w:w="0" w:type="dxa"/>
              <w:left w:w="108" w:type="dxa"/>
              <w:bottom w:w="0" w:type="dxa"/>
              <w:right w:w="108" w:type="dxa"/>
            </w:tcMar>
            <w:vAlign w:val="center"/>
          </w:tcPr>
          <w:p>
            <w:pPr>
              <w:widowControl/>
              <w:spacing w:line="240" w:lineRule="exact"/>
              <w:jc w:val="left"/>
              <w:rPr>
                <w:rFonts w:hint="eastAsia" w:ascii="方正仿宋_GBK" w:hAnsi="方正仿宋_GBK" w:eastAsia="方正仿宋_GBK" w:cs="方正仿宋_GBK"/>
                <w:kern w:val="0"/>
                <w:sz w:val="21"/>
                <w:szCs w:val="21"/>
                <w:lang w:val="en-US" w:eastAsia="zh-CN"/>
              </w:rPr>
            </w:pPr>
            <w:r>
              <w:rPr>
                <w:rFonts w:hint="eastAsia" w:ascii="方正仿宋_GBK" w:hAnsi="方正仿宋_GBK" w:eastAsia="方正仿宋_GBK" w:cs="方正仿宋_GBK"/>
                <w:kern w:val="0"/>
                <w:sz w:val="21"/>
                <w:szCs w:val="21"/>
                <w:lang w:val="en-US" w:eastAsia="zh-CN"/>
              </w:rPr>
              <w:t>2.申请人逾期未按收费通知要求缴纳费用、行政机关不再处理其政府信息公开申请</w:t>
            </w:r>
          </w:p>
        </w:tc>
        <w:tc>
          <w:tcPr>
            <w:tcW w:w="669"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lang w:val="en-US" w:eastAsia="zh-CN"/>
              </w:rPr>
            </w:pPr>
            <w:r>
              <w:rPr>
                <w:rFonts w:hint="eastAsia" w:ascii="方正仿宋_GBK" w:hAnsi="方正仿宋_GBK" w:eastAsia="方正仿宋_GBK" w:cs="方正仿宋_GBK"/>
                <w:kern w:val="0"/>
                <w:sz w:val="21"/>
                <w:szCs w:val="21"/>
                <w:lang w:val="en-US" w:eastAsia="zh-CN"/>
              </w:rPr>
              <w:t>0</w:t>
            </w:r>
          </w:p>
        </w:tc>
        <w:tc>
          <w:tcPr>
            <w:tcW w:w="658"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lang w:val="en-US" w:eastAsia="zh-CN"/>
              </w:rPr>
            </w:pPr>
            <w:r>
              <w:rPr>
                <w:rFonts w:hint="eastAsia" w:ascii="方正仿宋_GBK" w:hAnsi="方正仿宋_GBK" w:eastAsia="方正仿宋_GBK" w:cs="方正仿宋_GBK"/>
                <w:kern w:val="0"/>
                <w:sz w:val="21"/>
                <w:szCs w:val="21"/>
                <w:lang w:val="en-US" w:eastAsia="zh-CN"/>
              </w:rPr>
              <w:t>0</w:t>
            </w:r>
          </w:p>
        </w:tc>
        <w:tc>
          <w:tcPr>
            <w:tcW w:w="658"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lang w:val="en-US" w:eastAsia="zh-CN"/>
              </w:rPr>
            </w:pPr>
            <w:r>
              <w:rPr>
                <w:rFonts w:hint="eastAsia" w:ascii="方正仿宋_GBK" w:hAnsi="方正仿宋_GBK" w:eastAsia="方正仿宋_GBK" w:cs="方正仿宋_GBK"/>
                <w:kern w:val="0"/>
                <w:sz w:val="21"/>
                <w:szCs w:val="21"/>
                <w:lang w:val="en-US" w:eastAsia="zh-CN"/>
              </w:rPr>
              <w:t>0</w:t>
            </w:r>
          </w:p>
        </w:tc>
        <w:tc>
          <w:tcPr>
            <w:tcW w:w="703"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lang w:val="en-US" w:eastAsia="zh-CN"/>
              </w:rPr>
            </w:pPr>
            <w:r>
              <w:rPr>
                <w:rFonts w:hint="eastAsia" w:ascii="方正仿宋_GBK" w:hAnsi="方正仿宋_GBK" w:eastAsia="方正仿宋_GBK" w:cs="方正仿宋_GBK"/>
                <w:kern w:val="0"/>
                <w:sz w:val="21"/>
                <w:szCs w:val="21"/>
                <w:lang w:val="en-US" w:eastAsia="zh-CN"/>
              </w:rPr>
              <w:t>0</w:t>
            </w:r>
          </w:p>
        </w:tc>
        <w:tc>
          <w:tcPr>
            <w:tcW w:w="647"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lang w:val="en-US" w:eastAsia="zh-CN"/>
              </w:rPr>
            </w:pPr>
            <w:r>
              <w:rPr>
                <w:rFonts w:hint="eastAsia" w:ascii="方正仿宋_GBK" w:hAnsi="方正仿宋_GBK" w:eastAsia="方正仿宋_GBK" w:cs="方正仿宋_GBK"/>
                <w:kern w:val="0"/>
                <w:sz w:val="21"/>
                <w:szCs w:val="21"/>
                <w:lang w:val="en-US" w:eastAsia="zh-CN"/>
              </w:rPr>
              <w:t>0</w:t>
            </w:r>
          </w:p>
        </w:tc>
        <w:tc>
          <w:tcPr>
            <w:tcW w:w="669"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lang w:val="en-US" w:eastAsia="zh-CN"/>
              </w:rPr>
            </w:pPr>
            <w:r>
              <w:rPr>
                <w:rFonts w:hint="eastAsia" w:ascii="方正仿宋_GBK" w:hAnsi="方正仿宋_GBK" w:eastAsia="方正仿宋_GBK" w:cs="方正仿宋_GBK"/>
                <w:kern w:val="0"/>
                <w:sz w:val="21"/>
                <w:szCs w:val="21"/>
                <w:lang w:val="en-US" w:eastAsia="zh-CN"/>
              </w:rPr>
              <w:t>0</w:t>
            </w:r>
          </w:p>
        </w:tc>
        <w:tc>
          <w:tcPr>
            <w:tcW w:w="646"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lang w:val="en-US" w:eastAsia="zh-CN"/>
              </w:rPr>
            </w:pPr>
            <w:r>
              <w:rPr>
                <w:rFonts w:hint="eastAsia" w:ascii="方正仿宋_GBK" w:hAnsi="方正仿宋_GBK" w:eastAsia="方正仿宋_GBK" w:cs="方正仿宋_GBK"/>
                <w:kern w:val="0"/>
                <w:sz w:val="21"/>
                <w:szCs w:val="21"/>
                <w:lang w:val="en-US" w:eastAsia="zh-CN"/>
              </w:rPr>
              <w:t>0</w:t>
            </w:r>
          </w:p>
        </w:tc>
      </w:tr>
      <w:tr>
        <w:tblPrEx>
          <w:tblCellMar>
            <w:top w:w="0" w:type="dxa"/>
            <w:left w:w="0" w:type="dxa"/>
            <w:bottom w:w="0" w:type="dxa"/>
            <w:right w:w="0" w:type="dxa"/>
          </w:tblCellMar>
        </w:tblPrEx>
        <w:trPr>
          <w:trHeight w:val="431" w:hRule="exact"/>
          <w:jc w:val="center"/>
        </w:trPr>
        <w:tc>
          <w:tcPr>
            <w:tcW w:w="751" w:type="dxa"/>
            <w:vMerge w:val="continue"/>
            <w:tcBorders>
              <w:top w:val="nil"/>
              <w:left w:val="single" w:color="auto" w:sz="8" w:space="0"/>
              <w:bottom w:val="single" w:color="auto" w:sz="8" w:space="0"/>
              <w:right w:val="single" w:color="auto" w:sz="8" w:space="0"/>
            </w:tcBorders>
            <w:noWrap w:val="0"/>
            <w:vAlign w:val="center"/>
          </w:tcPr>
          <w:p>
            <w:pPr>
              <w:widowControl/>
              <w:spacing w:line="240" w:lineRule="exact"/>
              <w:jc w:val="left"/>
              <w:rPr>
                <w:rFonts w:ascii="宋体" w:hAnsi="宋体" w:cs="宋体"/>
                <w:kern w:val="0"/>
                <w:sz w:val="21"/>
                <w:szCs w:val="21"/>
              </w:rPr>
            </w:pPr>
          </w:p>
        </w:tc>
        <w:tc>
          <w:tcPr>
            <w:tcW w:w="808" w:type="dxa"/>
            <w:vMerge w:val="continue"/>
            <w:tcBorders>
              <w:left w:val="nil"/>
              <w:bottom w:val="single" w:color="auto" w:sz="8" w:space="0"/>
              <w:right w:val="single" w:color="auto" w:sz="4" w:space="0"/>
            </w:tcBorders>
            <w:noWrap w:val="0"/>
            <w:tcMar>
              <w:top w:w="0" w:type="dxa"/>
              <w:left w:w="108" w:type="dxa"/>
              <w:bottom w:w="0" w:type="dxa"/>
              <w:right w:w="108" w:type="dxa"/>
            </w:tcMar>
            <w:vAlign w:val="center"/>
          </w:tcPr>
          <w:p>
            <w:pPr>
              <w:widowControl/>
              <w:spacing w:line="240" w:lineRule="exact"/>
              <w:jc w:val="left"/>
              <w:rPr>
                <w:rFonts w:hint="eastAsia" w:ascii="楷体" w:hAnsi="楷体" w:eastAsia="楷体" w:cs="宋体"/>
                <w:kern w:val="0"/>
                <w:sz w:val="21"/>
                <w:szCs w:val="21"/>
              </w:rPr>
            </w:pPr>
          </w:p>
        </w:tc>
        <w:tc>
          <w:tcPr>
            <w:tcW w:w="3700" w:type="dxa"/>
            <w:tcBorders>
              <w:top w:val="single" w:color="auto" w:sz="4" w:space="0"/>
              <w:left w:val="single" w:color="auto" w:sz="4" w:space="0"/>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left"/>
              <w:rPr>
                <w:rFonts w:hint="eastAsia" w:ascii="方正仿宋_GBK" w:hAnsi="方正仿宋_GBK" w:eastAsia="方正仿宋_GBK" w:cs="方正仿宋_GBK"/>
                <w:kern w:val="0"/>
                <w:sz w:val="21"/>
                <w:szCs w:val="21"/>
                <w:lang w:val="en-US" w:eastAsia="zh-CN"/>
              </w:rPr>
            </w:pPr>
            <w:r>
              <w:rPr>
                <w:rFonts w:hint="eastAsia" w:ascii="方正仿宋_GBK" w:hAnsi="方正仿宋_GBK" w:eastAsia="方正仿宋_GBK" w:cs="方正仿宋_GBK"/>
                <w:kern w:val="0"/>
                <w:sz w:val="21"/>
                <w:szCs w:val="21"/>
                <w:lang w:val="en-US" w:eastAsia="zh-CN"/>
              </w:rPr>
              <w:t>3.其他</w:t>
            </w:r>
          </w:p>
        </w:tc>
        <w:tc>
          <w:tcPr>
            <w:tcW w:w="669"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lang w:val="en-US" w:eastAsia="zh-CN"/>
              </w:rPr>
            </w:pPr>
            <w:r>
              <w:rPr>
                <w:rFonts w:hint="eastAsia" w:ascii="方正仿宋_GBK" w:hAnsi="方正仿宋_GBK" w:eastAsia="方正仿宋_GBK" w:cs="方正仿宋_GBK"/>
                <w:kern w:val="0"/>
                <w:sz w:val="21"/>
                <w:szCs w:val="21"/>
                <w:lang w:val="en-US" w:eastAsia="zh-CN"/>
              </w:rPr>
              <w:t>0</w:t>
            </w:r>
          </w:p>
        </w:tc>
        <w:tc>
          <w:tcPr>
            <w:tcW w:w="658"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lang w:val="en-US" w:eastAsia="zh-CN"/>
              </w:rPr>
            </w:pPr>
            <w:r>
              <w:rPr>
                <w:rFonts w:hint="eastAsia" w:ascii="方正仿宋_GBK" w:hAnsi="方正仿宋_GBK" w:eastAsia="方正仿宋_GBK" w:cs="方正仿宋_GBK"/>
                <w:kern w:val="0"/>
                <w:sz w:val="21"/>
                <w:szCs w:val="21"/>
                <w:lang w:val="en-US" w:eastAsia="zh-CN"/>
              </w:rPr>
              <w:t>0</w:t>
            </w:r>
          </w:p>
        </w:tc>
        <w:tc>
          <w:tcPr>
            <w:tcW w:w="658"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lang w:val="en-US" w:eastAsia="zh-CN"/>
              </w:rPr>
            </w:pPr>
            <w:r>
              <w:rPr>
                <w:rFonts w:hint="eastAsia" w:ascii="方正仿宋_GBK" w:hAnsi="方正仿宋_GBK" w:eastAsia="方正仿宋_GBK" w:cs="方正仿宋_GBK"/>
                <w:kern w:val="0"/>
                <w:sz w:val="21"/>
                <w:szCs w:val="21"/>
                <w:lang w:val="en-US" w:eastAsia="zh-CN"/>
              </w:rPr>
              <w:t>0</w:t>
            </w:r>
          </w:p>
        </w:tc>
        <w:tc>
          <w:tcPr>
            <w:tcW w:w="703"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lang w:val="en-US" w:eastAsia="zh-CN"/>
              </w:rPr>
            </w:pPr>
            <w:r>
              <w:rPr>
                <w:rFonts w:hint="eastAsia" w:ascii="方正仿宋_GBK" w:hAnsi="方正仿宋_GBK" w:eastAsia="方正仿宋_GBK" w:cs="方正仿宋_GBK"/>
                <w:kern w:val="0"/>
                <w:sz w:val="21"/>
                <w:szCs w:val="21"/>
                <w:lang w:val="en-US" w:eastAsia="zh-CN"/>
              </w:rPr>
              <w:t>0</w:t>
            </w:r>
          </w:p>
        </w:tc>
        <w:tc>
          <w:tcPr>
            <w:tcW w:w="647"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lang w:val="en-US" w:eastAsia="zh-CN"/>
              </w:rPr>
            </w:pPr>
            <w:r>
              <w:rPr>
                <w:rFonts w:hint="eastAsia" w:ascii="方正仿宋_GBK" w:hAnsi="方正仿宋_GBK" w:eastAsia="方正仿宋_GBK" w:cs="方正仿宋_GBK"/>
                <w:kern w:val="0"/>
                <w:sz w:val="21"/>
                <w:szCs w:val="21"/>
                <w:lang w:val="en-US" w:eastAsia="zh-CN"/>
              </w:rPr>
              <w:t>0</w:t>
            </w:r>
          </w:p>
        </w:tc>
        <w:tc>
          <w:tcPr>
            <w:tcW w:w="669"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lang w:val="en-US" w:eastAsia="zh-CN"/>
              </w:rPr>
            </w:pPr>
            <w:r>
              <w:rPr>
                <w:rFonts w:hint="eastAsia" w:ascii="方正仿宋_GBK" w:hAnsi="方正仿宋_GBK" w:eastAsia="方正仿宋_GBK" w:cs="方正仿宋_GBK"/>
                <w:kern w:val="0"/>
                <w:sz w:val="21"/>
                <w:szCs w:val="21"/>
                <w:lang w:val="en-US" w:eastAsia="zh-CN"/>
              </w:rPr>
              <w:t>0</w:t>
            </w:r>
          </w:p>
        </w:tc>
        <w:tc>
          <w:tcPr>
            <w:tcW w:w="646"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lang w:val="en-US" w:eastAsia="zh-CN"/>
              </w:rPr>
            </w:pPr>
            <w:r>
              <w:rPr>
                <w:rFonts w:hint="eastAsia" w:ascii="方正仿宋_GBK" w:hAnsi="方正仿宋_GBK" w:eastAsia="方正仿宋_GBK" w:cs="方正仿宋_GBK"/>
                <w:kern w:val="0"/>
                <w:sz w:val="21"/>
                <w:szCs w:val="21"/>
                <w:lang w:val="en-US" w:eastAsia="zh-CN"/>
              </w:rPr>
              <w:t>0</w:t>
            </w:r>
          </w:p>
        </w:tc>
      </w:tr>
      <w:tr>
        <w:tblPrEx>
          <w:tblCellMar>
            <w:top w:w="0" w:type="dxa"/>
            <w:left w:w="0" w:type="dxa"/>
            <w:bottom w:w="0" w:type="dxa"/>
            <w:right w:w="0" w:type="dxa"/>
          </w:tblCellMar>
        </w:tblPrEx>
        <w:trPr>
          <w:trHeight w:val="431" w:hRule="exact"/>
          <w:jc w:val="center"/>
        </w:trPr>
        <w:tc>
          <w:tcPr>
            <w:tcW w:w="751" w:type="dxa"/>
            <w:vMerge w:val="continue"/>
            <w:tcBorders>
              <w:top w:val="nil"/>
              <w:left w:val="single" w:color="auto" w:sz="8" w:space="0"/>
              <w:bottom w:val="single" w:color="auto" w:sz="8" w:space="0"/>
              <w:right w:val="single" w:color="auto" w:sz="8" w:space="0"/>
            </w:tcBorders>
            <w:noWrap w:val="0"/>
            <w:vAlign w:val="center"/>
          </w:tcPr>
          <w:p>
            <w:pPr>
              <w:widowControl/>
              <w:spacing w:line="240" w:lineRule="exact"/>
              <w:jc w:val="left"/>
              <w:rPr>
                <w:rFonts w:ascii="宋体" w:hAnsi="宋体" w:cs="宋体"/>
                <w:kern w:val="0"/>
                <w:sz w:val="21"/>
                <w:szCs w:val="21"/>
              </w:rPr>
            </w:pPr>
          </w:p>
        </w:tc>
        <w:tc>
          <w:tcPr>
            <w:tcW w:w="4508"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left"/>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（七）总计</w:t>
            </w:r>
          </w:p>
        </w:tc>
        <w:tc>
          <w:tcPr>
            <w:tcW w:w="66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lang w:val="en-US" w:eastAsia="zh-CN"/>
              </w:rPr>
            </w:pPr>
            <w:r>
              <w:rPr>
                <w:rFonts w:hint="eastAsia" w:ascii="方正仿宋_GBK" w:hAnsi="方正仿宋_GBK" w:eastAsia="方正仿宋_GBK" w:cs="方正仿宋_GBK"/>
                <w:kern w:val="0"/>
                <w:sz w:val="21"/>
                <w:szCs w:val="21"/>
                <w:lang w:val="en-US" w:eastAsia="zh-CN"/>
              </w:rPr>
              <w:t>44</w:t>
            </w:r>
          </w:p>
        </w:tc>
        <w:tc>
          <w:tcPr>
            <w:tcW w:w="6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70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4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6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4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lang w:val="en-US" w:eastAsia="zh-CN"/>
              </w:rPr>
            </w:pPr>
            <w:r>
              <w:rPr>
                <w:rFonts w:hint="eastAsia" w:ascii="方正仿宋_GBK" w:hAnsi="方正仿宋_GBK" w:eastAsia="方正仿宋_GBK" w:cs="方正仿宋_GBK"/>
                <w:kern w:val="0"/>
                <w:sz w:val="21"/>
                <w:szCs w:val="21"/>
                <w:lang w:val="en-US" w:eastAsia="zh-CN"/>
              </w:rPr>
              <w:t>44</w:t>
            </w:r>
          </w:p>
        </w:tc>
      </w:tr>
      <w:tr>
        <w:tblPrEx>
          <w:tblCellMar>
            <w:top w:w="0" w:type="dxa"/>
            <w:left w:w="0" w:type="dxa"/>
            <w:bottom w:w="0" w:type="dxa"/>
            <w:right w:w="0" w:type="dxa"/>
          </w:tblCellMar>
        </w:tblPrEx>
        <w:trPr>
          <w:trHeight w:val="431" w:hRule="exact"/>
          <w:jc w:val="center"/>
        </w:trPr>
        <w:tc>
          <w:tcPr>
            <w:tcW w:w="5259" w:type="dxa"/>
            <w:gridSpan w:val="3"/>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left"/>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四、结转下年度继续办理</w:t>
            </w:r>
          </w:p>
        </w:tc>
        <w:tc>
          <w:tcPr>
            <w:tcW w:w="66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lang w:eastAsia="zh-CN"/>
              </w:rPr>
            </w:pPr>
            <w:r>
              <w:rPr>
                <w:rFonts w:hint="eastAsia" w:ascii="方正仿宋_GBK" w:hAnsi="方正仿宋_GBK" w:eastAsia="方正仿宋_GBK" w:cs="方正仿宋_GBK"/>
                <w:kern w:val="0"/>
                <w:sz w:val="21"/>
                <w:szCs w:val="21"/>
                <w:lang w:val="en-US" w:eastAsia="zh-CN"/>
              </w:rPr>
              <w:t>0</w:t>
            </w:r>
          </w:p>
        </w:tc>
        <w:tc>
          <w:tcPr>
            <w:tcW w:w="6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70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4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6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4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方正仿宋_GBK" w:hAnsi="方正仿宋_GBK" w:eastAsia="方正仿宋_GBK" w:cs="方正仿宋_GBK"/>
                <w:kern w:val="0"/>
                <w:sz w:val="21"/>
                <w:szCs w:val="21"/>
                <w:lang w:eastAsia="zh-CN"/>
              </w:rPr>
            </w:pPr>
            <w:r>
              <w:rPr>
                <w:rFonts w:hint="eastAsia" w:ascii="方正仿宋_GBK" w:hAnsi="方正仿宋_GBK" w:eastAsia="方正仿宋_GBK" w:cs="方正仿宋_GBK"/>
                <w:kern w:val="0"/>
                <w:sz w:val="21"/>
                <w:szCs w:val="21"/>
                <w:lang w:val="en-US" w:eastAsia="zh-CN"/>
              </w:rPr>
              <w:t>0</w:t>
            </w:r>
          </w:p>
        </w:tc>
      </w:tr>
    </w:tbl>
    <w:p>
      <w:pPr>
        <w:spacing w:line="240" w:lineRule="exact"/>
        <w:ind w:firstLine="640" w:firstLineChars="200"/>
        <w:rPr>
          <w:rFonts w:hint="eastAsia" w:ascii="黑体" w:hAnsi="黑体" w:eastAsia="黑体"/>
          <w:sz w:val="32"/>
          <w:szCs w:val="32"/>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四、政府信息公开行政复议、行政诉讼情况</w:t>
      </w:r>
    </w:p>
    <w:tbl>
      <w:tblPr>
        <w:tblStyle w:val="8"/>
        <w:tblW w:w="10287" w:type="dxa"/>
        <w:jc w:val="center"/>
        <w:tblLayout w:type="fixed"/>
        <w:tblCellMar>
          <w:top w:w="0" w:type="dxa"/>
          <w:left w:w="0" w:type="dxa"/>
          <w:bottom w:w="0" w:type="dxa"/>
          <w:right w:w="0" w:type="dxa"/>
        </w:tblCellMar>
      </w:tblPr>
      <w:tblGrid>
        <w:gridCol w:w="733"/>
        <w:gridCol w:w="750"/>
        <w:gridCol w:w="663"/>
        <w:gridCol w:w="699"/>
        <w:gridCol w:w="642"/>
        <w:gridCol w:w="704"/>
        <w:gridCol w:w="681"/>
        <w:gridCol w:w="657"/>
        <w:gridCol w:w="693"/>
        <w:gridCol w:w="680"/>
        <w:gridCol w:w="727"/>
        <w:gridCol w:w="637"/>
        <w:gridCol w:w="702"/>
        <w:gridCol w:w="661"/>
        <w:gridCol w:w="658"/>
      </w:tblGrid>
      <w:tr>
        <w:tblPrEx>
          <w:tblCellMar>
            <w:top w:w="0" w:type="dxa"/>
            <w:left w:w="0" w:type="dxa"/>
            <w:bottom w:w="0" w:type="dxa"/>
            <w:right w:w="0" w:type="dxa"/>
          </w:tblCellMar>
        </w:tblPrEx>
        <w:trPr>
          <w:trHeight w:val="425" w:hRule="atLeast"/>
          <w:jc w:val="center"/>
        </w:trPr>
        <w:tc>
          <w:tcPr>
            <w:tcW w:w="3487"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行政复议</w:t>
            </w:r>
          </w:p>
        </w:tc>
        <w:tc>
          <w:tcPr>
            <w:tcW w:w="6800" w:type="dxa"/>
            <w:gridSpan w:val="10"/>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行政诉讼</w:t>
            </w:r>
          </w:p>
        </w:tc>
      </w:tr>
      <w:tr>
        <w:tblPrEx>
          <w:tblCellMar>
            <w:top w:w="0" w:type="dxa"/>
            <w:left w:w="0" w:type="dxa"/>
            <w:bottom w:w="0" w:type="dxa"/>
            <w:right w:w="0" w:type="dxa"/>
          </w:tblCellMar>
        </w:tblPrEx>
        <w:trPr>
          <w:trHeight w:val="425" w:hRule="atLeast"/>
          <w:jc w:val="center"/>
        </w:trPr>
        <w:tc>
          <w:tcPr>
            <w:tcW w:w="733"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结果维持</w:t>
            </w:r>
          </w:p>
        </w:tc>
        <w:tc>
          <w:tcPr>
            <w:tcW w:w="750"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结果纠正</w:t>
            </w:r>
          </w:p>
        </w:tc>
        <w:tc>
          <w:tcPr>
            <w:tcW w:w="663" w:type="dxa"/>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其他结果</w:t>
            </w:r>
          </w:p>
        </w:tc>
        <w:tc>
          <w:tcPr>
            <w:tcW w:w="699" w:type="dxa"/>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尚未审结</w:t>
            </w:r>
          </w:p>
        </w:tc>
        <w:tc>
          <w:tcPr>
            <w:tcW w:w="642" w:type="dxa"/>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总计</w:t>
            </w:r>
          </w:p>
        </w:tc>
        <w:tc>
          <w:tcPr>
            <w:tcW w:w="3415" w:type="dxa"/>
            <w:gridSpan w:val="5"/>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未经复议直接起诉</w:t>
            </w:r>
          </w:p>
        </w:tc>
        <w:tc>
          <w:tcPr>
            <w:tcW w:w="3385" w:type="dxa"/>
            <w:gridSpan w:val="5"/>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复议后起诉</w:t>
            </w:r>
          </w:p>
        </w:tc>
      </w:tr>
      <w:tr>
        <w:tblPrEx>
          <w:tblCellMar>
            <w:top w:w="0" w:type="dxa"/>
            <w:left w:w="0" w:type="dxa"/>
            <w:bottom w:w="0" w:type="dxa"/>
            <w:right w:w="0" w:type="dxa"/>
          </w:tblCellMar>
        </w:tblPrEx>
        <w:trPr>
          <w:trHeight w:val="777" w:hRule="atLeast"/>
          <w:jc w:val="center"/>
        </w:trPr>
        <w:tc>
          <w:tcPr>
            <w:tcW w:w="733"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方正仿宋_GBK" w:hAnsi="方正仿宋_GBK" w:eastAsia="方正仿宋_GBK" w:cs="方正仿宋_GBK"/>
                <w:kern w:val="0"/>
                <w:sz w:val="21"/>
                <w:szCs w:val="21"/>
              </w:rPr>
            </w:pPr>
          </w:p>
        </w:tc>
        <w:tc>
          <w:tcPr>
            <w:tcW w:w="750" w:type="dxa"/>
            <w:vMerge w:val="continue"/>
            <w:tcBorders>
              <w:top w:val="nil"/>
              <w:left w:val="nil"/>
              <w:bottom w:val="single" w:color="auto" w:sz="8" w:space="0"/>
              <w:right w:val="single" w:color="auto" w:sz="8" w:space="0"/>
            </w:tcBorders>
            <w:noWrap w:val="0"/>
            <w:vAlign w:val="center"/>
          </w:tcPr>
          <w:p>
            <w:pPr>
              <w:widowControl/>
              <w:jc w:val="left"/>
              <w:rPr>
                <w:rFonts w:hint="eastAsia" w:ascii="方正仿宋_GBK" w:hAnsi="方正仿宋_GBK" w:eastAsia="方正仿宋_GBK" w:cs="方正仿宋_GBK"/>
                <w:kern w:val="0"/>
                <w:sz w:val="21"/>
                <w:szCs w:val="21"/>
              </w:rPr>
            </w:pPr>
          </w:p>
        </w:tc>
        <w:tc>
          <w:tcPr>
            <w:tcW w:w="663" w:type="dxa"/>
            <w:vMerge w:val="continue"/>
            <w:tcBorders>
              <w:top w:val="single" w:color="auto" w:sz="8" w:space="0"/>
              <w:left w:val="nil"/>
              <w:bottom w:val="single" w:color="auto" w:sz="8" w:space="0"/>
              <w:right w:val="single" w:color="auto" w:sz="8" w:space="0"/>
            </w:tcBorders>
            <w:noWrap w:val="0"/>
            <w:vAlign w:val="center"/>
          </w:tcPr>
          <w:p>
            <w:pPr>
              <w:widowControl/>
              <w:jc w:val="left"/>
              <w:rPr>
                <w:rFonts w:hint="eastAsia" w:ascii="方正仿宋_GBK" w:hAnsi="方正仿宋_GBK" w:eastAsia="方正仿宋_GBK" w:cs="方正仿宋_GBK"/>
                <w:kern w:val="0"/>
                <w:sz w:val="21"/>
                <w:szCs w:val="21"/>
              </w:rPr>
            </w:pPr>
          </w:p>
        </w:tc>
        <w:tc>
          <w:tcPr>
            <w:tcW w:w="699" w:type="dxa"/>
            <w:vMerge w:val="continue"/>
            <w:tcBorders>
              <w:top w:val="single" w:color="auto" w:sz="8" w:space="0"/>
              <w:left w:val="nil"/>
              <w:bottom w:val="single" w:color="auto" w:sz="8" w:space="0"/>
              <w:right w:val="single" w:color="auto" w:sz="8" w:space="0"/>
            </w:tcBorders>
            <w:noWrap w:val="0"/>
            <w:vAlign w:val="center"/>
          </w:tcPr>
          <w:p>
            <w:pPr>
              <w:widowControl/>
              <w:jc w:val="left"/>
              <w:rPr>
                <w:rFonts w:hint="eastAsia" w:ascii="方正仿宋_GBK" w:hAnsi="方正仿宋_GBK" w:eastAsia="方正仿宋_GBK" w:cs="方正仿宋_GBK"/>
                <w:kern w:val="0"/>
                <w:sz w:val="21"/>
                <w:szCs w:val="21"/>
              </w:rPr>
            </w:pPr>
          </w:p>
        </w:tc>
        <w:tc>
          <w:tcPr>
            <w:tcW w:w="642" w:type="dxa"/>
            <w:vMerge w:val="continue"/>
            <w:tcBorders>
              <w:top w:val="single" w:color="auto" w:sz="8" w:space="0"/>
              <w:left w:val="nil"/>
              <w:bottom w:val="single" w:color="auto" w:sz="8" w:space="0"/>
              <w:right w:val="single" w:color="auto" w:sz="8" w:space="0"/>
            </w:tcBorders>
            <w:noWrap w:val="0"/>
            <w:vAlign w:val="center"/>
          </w:tcPr>
          <w:p>
            <w:pPr>
              <w:widowControl/>
              <w:jc w:val="left"/>
              <w:rPr>
                <w:rFonts w:hint="eastAsia" w:ascii="方正仿宋_GBK" w:hAnsi="方正仿宋_GBK" w:eastAsia="方正仿宋_GBK" w:cs="方正仿宋_GBK"/>
                <w:kern w:val="0"/>
                <w:sz w:val="21"/>
                <w:szCs w:val="21"/>
              </w:rPr>
            </w:pPr>
          </w:p>
        </w:tc>
        <w:tc>
          <w:tcPr>
            <w:tcW w:w="7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结果维持</w:t>
            </w:r>
          </w:p>
        </w:tc>
        <w:tc>
          <w:tcPr>
            <w:tcW w:w="68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结果纠正</w:t>
            </w:r>
          </w:p>
        </w:tc>
        <w:tc>
          <w:tcPr>
            <w:tcW w:w="65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其他结果</w:t>
            </w:r>
          </w:p>
        </w:tc>
        <w:tc>
          <w:tcPr>
            <w:tcW w:w="69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尚未审结</w:t>
            </w:r>
          </w:p>
        </w:tc>
        <w:tc>
          <w:tcPr>
            <w:tcW w:w="68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color w:val="000000"/>
                <w:kern w:val="0"/>
                <w:sz w:val="21"/>
                <w:szCs w:val="21"/>
              </w:rPr>
              <w:t>总计</w:t>
            </w:r>
          </w:p>
        </w:tc>
        <w:tc>
          <w:tcPr>
            <w:tcW w:w="72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结果维持</w:t>
            </w:r>
          </w:p>
        </w:tc>
        <w:tc>
          <w:tcPr>
            <w:tcW w:w="63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结果纠正</w:t>
            </w:r>
          </w:p>
        </w:tc>
        <w:tc>
          <w:tcPr>
            <w:tcW w:w="70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color w:val="000000"/>
                <w:kern w:val="0"/>
                <w:sz w:val="21"/>
                <w:szCs w:val="21"/>
              </w:rPr>
              <w:t>其他结果</w:t>
            </w:r>
          </w:p>
        </w:tc>
        <w:tc>
          <w:tcPr>
            <w:tcW w:w="66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尚未审结</w:t>
            </w:r>
          </w:p>
        </w:tc>
        <w:tc>
          <w:tcPr>
            <w:tcW w:w="65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color w:val="000000"/>
                <w:kern w:val="0"/>
                <w:sz w:val="21"/>
                <w:szCs w:val="21"/>
              </w:rPr>
              <w:t>总计</w:t>
            </w:r>
          </w:p>
        </w:tc>
      </w:tr>
      <w:tr>
        <w:tblPrEx>
          <w:tblCellMar>
            <w:top w:w="0" w:type="dxa"/>
            <w:left w:w="0" w:type="dxa"/>
            <w:bottom w:w="0" w:type="dxa"/>
            <w:right w:w="0" w:type="dxa"/>
          </w:tblCellMar>
        </w:tblPrEx>
        <w:trPr>
          <w:trHeight w:val="425" w:hRule="atLeast"/>
          <w:jc w:val="center"/>
        </w:trPr>
        <w:tc>
          <w:tcPr>
            <w:tcW w:w="73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75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6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9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4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7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8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5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9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8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color w:val="000000"/>
                <w:kern w:val="0"/>
                <w:sz w:val="21"/>
                <w:szCs w:val="21"/>
              </w:rPr>
              <w:t>0</w:t>
            </w:r>
          </w:p>
        </w:tc>
        <w:tc>
          <w:tcPr>
            <w:tcW w:w="72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3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color w:val="000000"/>
                <w:kern w:val="0"/>
                <w:sz w:val="21"/>
                <w:szCs w:val="21"/>
              </w:rPr>
              <w:t>0</w:t>
            </w:r>
          </w:p>
        </w:tc>
        <w:tc>
          <w:tcPr>
            <w:tcW w:w="66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c>
          <w:tcPr>
            <w:tcW w:w="6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0</w:t>
            </w:r>
          </w:p>
        </w:tc>
      </w:tr>
    </w:tbl>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五、政府信息公开工作存在的问题及改进情况</w:t>
      </w:r>
    </w:p>
    <w:p>
      <w:p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自治区统计</w:t>
      </w:r>
      <w:r>
        <w:rPr>
          <w:rFonts w:hint="eastAsia" w:ascii="仿宋_GB2312" w:hAnsi="仿宋_GB2312" w:eastAsia="仿宋_GB2312" w:cs="仿宋_GB2312"/>
          <w:sz w:val="32"/>
          <w:szCs w:val="32"/>
        </w:rPr>
        <w:t>局政府</w:t>
      </w:r>
      <w:r>
        <w:rPr>
          <w:rFonts w:hint="eastAsia" w:ascii="仿宋_GB2312" w:hAnsi="仿宋_GB2312" w:eastAsia="仿宋_GB2312" w:cs="仿宋_GB2312"/>
          <w:sz w:val="32"/>
          <w:szCs w:val="32"/>
          <w:lang w:eastAsia="zh-CN"/>
        </w:rPr>
        <w:t>信息公开</w:t>
      </w:r>
      <w:r>
        <w:rPr>
          <w:rFonts w:hint="eastAsia" w:ascii="仿宋_GB2312" w:hAnsi="仿宋_GB2312" w:eastAsia="仿宋_GB2312" w:cs="仿宋_GB2312"/>
          <w:sz w:val="32"/>
          <w:szCs w:val="32"/>
        </w:rPr>
        <w:t>各方面工作都取得了一定成效，但仍存在一些差距和问题</w:t>
      </w:r>
      <w:r>
        <w:rPr>
          <w:rFonts w:hint="eastAsia" w:ascii="仿宋_GB2312" w:hAnsi="仿宋_GB2312" w:eastAsia="仿宋_GB2312" w:cs="仿宋_GB2312"/>
          <w:sz w:val="32"/>
          <w:szCs w:val="32"/>
          <w:lang w:eastAsia="zh-CN"/>
        </w:rPr>
        <w:t>，如：政务公开工作要点落实不够到位、政府信息公开内容方式不够新颖等</w:t>
      </w:r>
      <w:r>
        <w:rPr>
          <w:rFonts w:hint="eastAsia" w:ascii="仿宋_GB2312" w:hAnsi="仿宋_GB2312" w:eastAsia="仿宋_GB2312" w:cs="仿宋_GB2312"/>
          <w:sz w:val="32"/>
          <w:szCs w:val="32"/>
        </w:rPr>
        <w:t>。</w:t>
      </w:r>
    </w:p>
    <w:p>
      <w:pPr>
        <w:spacing w:line="560" w:lineRule="exact"/>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下一步，</w:t>
      </w:r>
      <w:r>
        <w:rPr>
          <w:rFonts w:hint="eastAsia" w:ascii="仿宋_GB2312" w:hAnsi="仿宋_GB2312" w:eastAsia="仿宋_GB2312" w:cs="仿宋_GB2312"/>
          <w:sz w:val="32"/>
          <w:szCs w:val="32"/>
          <w:lang w:eastAsia="zh-CN"/>
        </w:rPr>
        <w:t>自治区统计局将</w:t>
      </w:r>
      <w:r>
        <w:rPr>
          <w:rFonts w:hint="eastAsia" w:ascii="仿宋_GB2312" w:hAnsi="仿宋_GB2312" w:eastAsia="仿宋_GB2312" w:cs="仿宋_GB2312"/>
          <w:i w:val="0"/>
          <w:color w:val="000000"/>
          <w:kern w:val="0"/>
          <w:sz w:val="32"/>
          <w:szCs w:val="32"/>
          <w:u w:val="none"/>
          <w:lang w:val="en-US" w:eastAsia="zh-CN" w:bidi="ar"/>
        </w:rPr>
        <w:t>坚持不懈以习近平新时代中国特色社会主义思想为指导，深入学习宣传贯彻党的二十大精神和自治区第十三次党代会精神，认真落实全区经济工作会、自治区“两会”和全国统计工作会议精神，围绕中心，服务大局，深入推进统计领域政府信息公开，持续做好</w:t>
      </w:r>
      <w:r>
        <w:rPr>
          <w:rFonts w:hint="eastAsia" w:ascii="仿宋_GB2312" w:hAnsi="仿宋_GB2312" w:eastAsia="仿宋_GB2312" w:cs="仿宋_GB2312"/>
          <w:sz w:val="32"/>
          <w:szCs w:val="32"/>
        </w:rPr>
        <w:t>数据发布解读</w:t>
      </w:r>
      <w:r>
        <w:rPr>
          <w:rFonts w:hint="eastAsia" w:ascii="仿宋_GB2312" w:hAnsi="仿宋_GB2312" w:eastAsia="仿宋_GB2312" w:cs="仿宋_GB2312"/>
          <w:sz w:val="32"/>
          <w:szCs w:val="32"/>
          <w:lang w:eastAsia="zh-CN"/>
        </w:rPr>
        <w:t>，及时回应社会关心关切</w:t>
      </w:r>
      <w:r>
        <w:rPr>
          <w:rFonts w:hint="eastAsia" w:ascii="仿宋_GB2312" w:hAnsi="仿宋_GB2312" w:eastAsia="仿宋_GB2312" w:cs="仿宋_GB2312"/>
          <w:sz w:val="32"/>
          <w:szCs w:val="32"/>
        </w:rPr>
        <w:t>。继续办好宁夏第十四届“中国统计开放日”活动，加大创新力度，进一步发挥</w:t>
      </w:r>
      <w:r>
        <w:rPr>
          <w:rFonts w:hint="eastAsia" w:ascii="仿宋_GB2312" w:hAnsi="仿宋_GB2312" w:eastAsia="仿宋_GB2312" w:cs="仿宋_GB2312"/>
          <w:sz w:val="32"/>
          <w:szCs w:val="32"/>
          <w:lang w:eastAsia="zh-CN"/>
        </w:rPr>
        <w:t>政务</w:t>
      </w:r>
      <w:r>
        <w:rPr>
          <w:rFonts w:hint="eastAsia" w:ascii="仿宋_GB2312" w:hAnsi="仿宋_GB2312" w:eastAsia="仿宋_GB2312" w:cs="仿宋_GB2312"/>
          <w:sz w:val="32"/>
          <w:szCs w:val="32"/>
        </w:rPr>
        <w:t>新媒体在促进统计传播、扩大统计公开等方面的作用。</w:t>
      </w:r>
      <w:r>
        <w:rPr>
          <w:rFonts w:hint="eastAsia" w:ascii="仿宋_GB2312" w:hAnsi="仿宋_GB2312" w:eastAsia="仿宋_GB2312" w:cs="仿宋_GB2312"/>
          <w:sz w:val="32"/>
          <w:szCs w:val="32"/>
          <w:lang w:eastAsia="zh-CN"/>
        </w:rPr>
        <w:t>适时</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政务公开</w:t>
      </w:r>
      <w:r>
        <w:rPr>
          <w:rFonts w:hint="eastAsia" w:ascii="仿宋_GB2312" w:hAnsi="仿宋_GB2312" w:eastAsia="仿宋_GB2312" w:cs="仿宋_GB2312"/>
          <w:sz w:val="32"/>
          <w:szCs w:val="32"/>
        </w:rPr>
        <w:t>工作要点落实情况开展“回头看”，认真查摆问题，逐项核查核销，及时落实整改。</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六、其它需要报告的事项</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（一）依据《全区202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年政务公开工作要点》，结合统计工作实际及时编制了《自治区统计局202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年政务公开工作要点》并公开发布，要点中明确的</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方面</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lang w:eastAsia="zh-CN"/>
        </w:rPr>
        <w:t>项内容均基本落实到位。</w:t>
      </w:r>
    </w:p>
    <w:p>
      <w:pPr>
        <w:spacing w:line="560" w:lineRule="exact"/>
        <w:ind w:firstLine="642"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1.持续做好统计重点工作领域信息公开。</w:t>
      </w:r>
      <w:r>
        <w:rPr>
          <w:rFonts w:hint="eastAsia" w:ascii="仿宋_GB2312" w:hAnsi="仿宋_GB2312" w:eastAsia="仿宋_GB2312" w:cs="仿宋_GB2312"/>
          <w:sz w:val="32"/>
          <w:szCs w:val="32"/>
          <w:lang w:val="en-US" w:eastAsia="zh-CN"/>
        </w:rPr>
        <w:t>及时公开了经自治区统计局审批的市、县、区统计调查项目和自治区级部门统计调查项目的审批目录以及统计调查制度。按时公开了统计部门预算及“三公”经费财政拨款预算、统计部门决算及“三公”经费财政拨款决算等信息。</w:t>
      </w:r>
    </w:p>
    <w:p>
      <w:pPr>
        <w:pStyle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2.持续加强统计信息发布和解读。</w:t>
      </w:r>
      <w:r>
        <w:rPr>
          <w:rFonts w:hint="eastAsia" w:ascii="仿宋_GB2312" w:hAnsi="仿宋_GB2312" w:eastAsia="仿宋_GB2312" w:cs="仿宋_GB2312"/>
          <w:sz w:val="32"/>
          <w:szCs w:val="32"/>
          <w:lang w:val="en-US" w:eastAsia="zh-CN"/>
        </w:rPr>
        <w:t>按照月度、季度时间节点及时发布了全区经济运行情况图解，切实做好统计数据发布和解读工作，有效引导预期。严格落实“谁起草、谁解读”原则，切实做到政策性文件起草与解读材料同步组织、同步审签、同步部署，2022年发布政策文件1份，已落实政策解读要求。       配合重要统计数据发布，认真做好舆情风险评估研判，制定了应对处置预案。</w:t>
      </w:r>
    </w:p>
    <w:p>
      <w:pPr>
        <w:pStyle w:val="2"/>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3.持续抓好重点工作任务落实。</w:t>
      </w:r>
      <w:r>
        <w:rPr>
          <w:rFonts w:hint="eastAsia" w:ascii="仿宋_GB2312" w:hAnsi="仿宋_GB2312" w:eastAsia="仿宋_GB2312" w:cs="仿宋_GB2312"/>
          <w:sz w:val="32"/>
          <w:szCs w:val="32"/>
          <w:lang w:val="en-US" w:eastAsia="zh-CN"/>
        </w:rPr>
        <w:t>切实</w:t>
      </w:r>
      <w:r>
        <w:rPr>
          <w:rFonts w:hint="eastAsia" w:ascii="仿宋_GB2312" w:hAnsi="仿宋_GB2312" w:eastAsia="仿宋_GB2312" w:cs="仿宋_GB2312"/>
          <w:sz w:val="32"/>
          <w:szCs w:val="32"/>
          <w:lang w:val="en-US" w:eastAsia="zh-CN"/>
        </w:rPr>
        <w:t>做好了信息发布保密审查工作，坚持“先审查、后公开”和“一事一审”原则，信息发布严格落实“三审三校”制度。9月20日，以“数说新时代 奋进新征程”为主题，成功举办了宁夏第十三届“中国统计开放日”活动，进一步促进统计公开透明和提升统计与时俱进、创新发展的良好形象，着力提升政府统计公信力和影响力，增进社会各界对统计工作的理解和支持。</w:t>
      </w:r>
      <w:bookmarkStart w:id="1" w:name="_GoBack"/>
      <w:bookmarkEnd w:id="1"/>
    </w:p>
    <w:p>
      <w:pPr>
        <w:spacing w:line="560" w:lineRule="exact"/>
        <w:ind w:firstLine="642"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4.持续强化政务公开工作监督保障。</w:t>
      </w:r>
      <w:r>
        <w:rPr>
          <w:rFonts w:hint="eastAsia" w:ascii="仿宋_GB2312" w:hAnsi="仿宋_GB2312" w:eastAsia="仿宋_GB2312" w:cs="仿宋_GB2312"/>
          <w:sz w:val="32"/>
          <w:szCs w:val="32"/>
          <w:lang w:val="en-US" w:eastAsia="zh-CN"/>
        </w:rPr>
        <w:t>制定了年度培训计划，认真组织开展了政务公开工作学习培训，进一步提升了全局人员的政务公开业务能力。</w:t>
      </w:r>
      <w:r>
        <w:rPr>
          <w:rFonts w:hint="eastAsia" w:ascii="仿宋_GB2312" w:hAnsi="仿宋_GB2312" w:eastAsia="仿宋_GB2312" w:cs="仿宋_GB2312"/>
          <w:sz w:val="32"/>
          <w:szCs w:val="32"/>
          <w:lang w:eastAsia="zh-CN"/>
        </w:rPr>
        <w:t>组织对2021年自治区统计局政务公开工作要点落实情况开展“回头看”，认真查摆问题，逐项核查核销，均已整改落实到位。</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（二）建议提案办理公开情况。202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年，自治区统计局无办理的人大建议和政协提案。</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年，自治区统计局无依据《政府信息公开信息处理费管理办法》收取信息费情况。</w:t>
      </w:r>
    </w:p>
    <w:p>
      <w:pPr>
        <w:spacing w:line="560" w:lineRule="exact"/>
        <w:ind w:firstLine="640" w:firstLineChars="200"/>
        <w:rPr>
          <w:rFonts w:hint="eastAsia"/>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本报告由自治区统计局办公室汇总本单位政府信息公开工作情况编制而成，电子版可在自治区统计局门户网站 (http://tj.nx.gov.cn)查阅或下载。如有疑问或意见建议，请直接与自治区统计局办公室联系。(地址：宁夏银川市</w:t>
      </w:r>
      <w:r>
        <w:rPr>
          <w:rFonts w:hint="eastAsia" w:ascii="仿宋_GB2312" w:hAnsi="仿宋_GB2312" w:eastAsia="仿宋_GB2312" w:cs="仿宋_GB2312"/>
          <w:sz w:val="32"/>
          <w:szCs w:val="32"/>
          <w:lang w:eastAsia="zh-CN"/>
        </w:rPr>
        <w:t>金凤</w:t>
      </w:r>
      <w:r>
        <w:rPr>
          <w:rFonts w:hint="eastAsia" w:ascii="仿宋_GB2312" w:hAnsi="仿宋_GB2312" w:eastAsia="仿宋_GB2312" w:cs="仿宋_GB2312"/>
          <w:sz w:val="32"/>
          <w:szCs w:val="32"/>
        </w:rPr>
        <w:t>区雪绒巷聚和6号楼统计大厦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邮编：750002，电话：0951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56770</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；传真：0951-567701</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；电子邮箱：394591455@qq.com)。</w:t>
      </w:r>
      <w:bookmarkStart w:id="0" w:name="正文"/>
      <w:bookmarkEnd w:id="0"/>
    </w:p>
    <w:sectPr>
      <w:footerReference r:id="rId3" w:type="default"/>
      <w:pgSz w:w="11906" w:h="16838"/>
      <w:pgMar w:top="1701" w:right="1588" w:bottom="1587" w:left="1588" w:header="851" w:footer="1247"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方正仿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仿宋_GB2312">
    <w:altName w:val="方正仿宋_GBK"/>
    <w:panose1 w:val="02010609030101010101"/>
    <w:charset w:val="00"/>
    <w:family w:val="modern"/>
    <w:pitch w:val="default"/>
    <w:sig w:usb0="00000000" w:usb1="00000000" w:usb2="00000000" w:usb3="00000000" w:csb0="00040000" w:csb1="00000000"/>
  </w:font>
  <w:font w:name="楷体">
    <w:altName w:val="方正楷体_GBK"/>
    <w:panose1 w:val="02010609060101010101"/>
    <w:charset w:val="00"/>
    <w:family w:val="modern"/>
    <w:pitch w:val="default"/>
    <w:sig w:usb0="00000000" w:usb1="00000000" w:usb2="00000016" w:usb3="00000000" w:csb0="00040001" w:csb1="00000000"/>
  </w:font>
  <w:font w:name="仿宋——GB2312">
    <w:altName w:val="方正仿宋_GBK"/>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lJLUwIA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s0lY7tAAAAAFAQAADwAAAAAAAAABACAAAAA4AAAAZHJzL2Rvd25yZXYueG1sUEsB&#10;AhQAFAAAAAgAh07iQGUktTAgAgAANwQAAA4AAAAAAAAAAQAgAAAANQEAAGRycy9lMm9Eb2MueG1s&#10;UEsFBgAAAAAGAAYAWQEAAMcFAAAAAA==&#10;">
              <v:fill on="f" focussize="0,0"/>
              <v:stroke on="f" weight="0.5pt"/>
              <v:imagedata o:title=""/>
              <o:lock v:ext="edit" aspectratio="f"/>
              <v:textbox inset="0mm,0mm,0mm,0mm" style="mso-fit-shape-to-text:t;">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7D9"/>
    <w:rsid w:val="000F587D"/>
    <w:rsid w:val="000F5F66"/>
    <w:rsid w:val="00100659"/>
    <w:rsid w:val="00140795"/>
    <w:rsid w:val="0022157A"/>
    <w:rsid w:val="0023543C"/>
    <w:rsid w:val="00305982"/>
    <w:rsid w:val="0031073C"/>
    <w:rsid w:val="003224CC"/>
    <w:rsid w:val="00382CEC"/>
    <w:rsid w:val="00400769"/>
    <w:rsid w:val="004B435F"/>
    <w:rsid w:val="005E00F7"/>
    <w:rsid w:val="00633EDF"/>
    <w:rsid w:val="00635638"/>
    <w:rsid w:val="006415B9"/>
    <w:rsid w:val="0065141F"/>
    <w:rsid w:val="006B669E"/>
    <w:rsid w:val="00783772"/>
    <w:rsid w:val="007E7471"/>
    <w:rsid w:val="008E48FB"/>
    <w:rsid w:val="008F5574"/>
    <w:rsid w:val="009A2432"/>
    <w:rsid w:val="009D19B2"/>
    <w:rsid w:val="009F6BCD"/>
    <w:rsid w:val="00A314D6"/>
    <w:rsid w:val="00A40AAB"/>
    <w:rsid w:val="00A75AAC"/>
    <w:rsid w:val="00A938DD"/>
    <w:rsid w:val="00B0346A"/>
    <w:rsid w:val="00B23EAF"/>
    <w:rsid w:val="00B52E53"/>
    <w:rsid w:val="00B90FA3"/>
    <w:rsid w:val="00C30384"/>
    <w:rsid w:val="00C61903"/>
    <w:rsid w:val="00C85409"/>
    <w:rsid w:val="00CE12E0"/>
    <w:rsid w:val="00E831A6"/>
    <w:rsid w:val="00EA7F57"/>
    <w:rsid w:val="00EC4176"/>
    <w:rsid w:val="00EE67D9"/>
    <w:rsid w:val="00FA340F"/>
    <w:rsid w:val="03BF5452"/>
    <w:rsid w:val="03C616AB"/>
    <w:rsid w:val="09934088"/>
    <w:rsid w:val="0B3F3D20"/>
    <w:rsid w:val="0C39102F"/>
    <w:rsid w:val="0CCD1560"/>
    <w:rsid w:val="121809BC"/>
    <w:rsid w:val="14778BDD"/>
    <w:rsid w:val="15DF78EF"/>
    <w:rsid w:val="1856644D"/>
    <w:rsid w:val="19EF0EC4"/>
    <w:rsid w:val="1A0D7F9D"/>
    <w:rsid w:val="1E1D13EB"/>
    <w:rsid w:val="1ED6EC2E"/>
    <w:rsid w:val="22EF7FD8"/>
    <w:rsid w:val="25914EE4"/>
    <w:rsid w:val="26073207"/>
    <w:rsid w:val="341C514D"/>
    <w:rsid w:val="35AA415C"/>
    <w:rsid w:val="3BB345ED"/>
    <w:rsid w:val="3FBF838F"/>
    <w:rsid w:val="432A30EA"/>
    <w:rsid w:val="46675BB6"/>
    <w:rsid w:val="493E6058"/>
    <w:rsid w:val="4E871C24"/>
    <w:rsid w:val="59A14B12"/>
    <w:rsid w:val="5CEB0D15"/>
    <w:rsid w:val="5EDFB50B"/>
    <w:rsid w:val="5EFF360E"/>
    <w:rsid w:val="63D3310B"/>
    <w:rsid w:val="64E34CAB"/>
    <w:rsid w:val="67882BFF"/>
    <w:rsid w:val="67DFD37F"/>
    <w:rsid w:val="685237C5"/>
    <w:rsid w:val="6A3723CE"/>
    <w:rsid w:val="6B5C9287"/>
    <w:rsid w:val="6DDB0909"/>
    <w:rsid w:val="6F7F04AE"/>
    <w:rsid w:val="6FE57404"/>
    <w:rsid w:val="712015C6"/>
    <w:rsid w:val="7401513B"/>
    <w:rsid w:val="746914AB"/>
    <w:rsid w:val="75CB3AE6"/>
    <w:rsid w:val="77DDAB08"/>
    <w:rsid w:val="780F6857"/>
    <w:rsid w:val="7BFC5E6B"/>
    <w:rsid w:val="7BFF1F7D"/>
    <w:rsid w:val="7C107AA5"/>
    <w:rsid w:val="7DF6A92F"/>
    <w:rsid w:val="7DFF5DF4"/>
    <w:rsid w:val="7EBE70BA"/>
    <w:rsid w:val="7EC87E24"/>
    <w:rsid w:val="7F3DCE85"/>
    <w:rsid w:val="7F7B308B"/>
    <w:rsid w:val="7FB96808"/>
    <w:rsid w:val="7FF7652C"/>
    <w:rsid w:val="7FFF99F1"/>
    <w:rsid w:val="9CFF20C8"/>
    <w:rsid w:val="A7DBD977"/>
    <w:rsid w:val="AE7DF83D"/>
    <w:rsid w:val="B25BB3AD"/>
    <w:rsid w:val="B7E5A199"/>
    <w:rsid w:val="BCB71547"/>
    <w:rsid w:val="BFB57351"/>
    <w:rsid w:val="BFE3922C"/>
    <w:rsid w:val="CFDE10C1"/>
    <w:rsid w:val="D7DFE830"/>
    <w:rsid w:val="DB5FB155"/>
    <w:rsid w:val="DFD64DAA"/>
    <w:rsid w:val="E5D64A4C"/>
    <w:rsid w:val="E7537BB3"/>
    <w:rsid w:val="E7974BB7"/>
    <w:rsid w:val="E7EEAB08"/>
    <w:rsid w:val="EE598630"/>
    <w:rsid w:val="EFFF6D80"/>
    <w:rsid w:val="F3758B29"/>
    <w:rsid w:val="F5CFB908"/>
    <w:rsid w:val="F79D389C"/>
    <w:rsid w:val="FBCFEEAD"/>
    <w:rsid w:val="FBDFE4EF"/>
    <w:rsid w:val="FBFB4421"/>
    <w:rsid w:val="FCE706E0"/>
    <w:rsid w:val="FD9B0724"/>
    <w:rsid w:val="FDD7CEA5"/>
    <w:rsid w:val="FF5E5A6E"/>
    <w:rsid w:val="FF763826"/>
    <w:rsid w:val="FFAB4190"/>
    <w:rsid w:val="FFEB39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200" w:firstLineChars="200"/>
    </w:pPr>
  </w:style>
  <w:style w:type="paragraph" w:styleId="3">
    <w:name w:val="Plain Text"/>
    <w:basedOn w:val="1"/>
    <w:qFormat/>
    <w:uiPriority w:val="0"/>
    <w:rPr>
      <w:rFonts w:ascii="宋体" w:hAnsi="Courier New"/>
    </w:rPr>
  </w:style>
  <w:style w:type="paragraph" w:styleId="4">
    <w:name w:val="Balloon Text"/>
    <w:basedOn w:val="1"/>
    <w:link w:val="20"/>
    <w:semiHidden/>
    <w:unhideWhenUsed/>
    <w:qFormat/>
    <w:uiPriority w:val="99"/>
    <w:rPr>
      <w:sz w:val="18"/>
      <w:szCs w:val="18"/>
    </w:rPr>
  </w:style>
  <w:style w:type="paragraph" w:styleId="5">
    <w:name w:val="footer"/>
    <w:basedOn w:val="1"/>
    <w:link w:val="19"/>
    <w:unhideWhenUsed/>
    <w:qFormat/>
    <w:uiPriority w:val="99"/>
    <w:pPr>
      <w:tabs>
        <w:tab w:val="center" w:pos="4153"/>
        <w:tab w:val="right" w:pos="8306"/>
      </w:tabs>
      <w:snapToGrid w:val="0"/>
      <w:jc w:val="left"/>
    </w:pPr>
    <w:rPr>
      <w:sz w:val="18"/>
      <w:szCs w:val="18"/>
    </w:rPr>
  </w:style>
  <w:style w:type="paragraph" w:styleId="6">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0">
    <w:name w:val="FollowedHyperlink"/>
    <w:basedOn w:val="9"/>
    <w:semiHidden/>
    <w:unhideWhenUsed/>
    <w:qFormat/>
    <w:uiPriority w:val="99"/>
    <w:rPr>
      <w:color w:val="234952"/>
      <w:u w:val="none"/>
    </w:rPr>
  </w:style>
  <w:style w:type="character" w:styleId="11">
    <w:name w:val="Emphasis"/>
    <w:basedOn w:val="9"/>
    <w:qFormat/>
    <w:uiPriority w:val="20"/>
  </w:style>
  <w:style w:type="character" w:styleId="12">
    <w:name w:val="HTML Definition"/>
    <w:basedOn w:val="9"/>
    <w:semiHidden/>
    <w:unhideWhenUsed/>
    <w:qFormat/>
    <w:uiPriority w:val="99"/>
  </w:style>
  <w:style w:type="character" w:styleId="13">
    <w:name w:val="HTML Acronym"/>
    <w:basedOn w:val="9"/>
    <w:semiHidden/>
    <w:unhideWhenUsed/>
    <w:qFormat/>
    <w:uiPriority w:val="99"/>
  </w:style>
  <w:style w:type="character" w:styleId="14">
    <w:name w:val="HTML Variable"/>
    <w:basedOn w:val="9"/>
    <w:semiHidden/>
    <w:unhideWhenUsed/>
    <w:qFormat/>
    <w:uiPriority w:val="99"/>
  </w:style>
  <w:style w:type="character" w:styleId="15">
    <w:name w:val="Hyperlink"/>
    <w:basedOn w:val="9"/>
    <w:semiHidden/>
    <w:unhideWhenUsed/>
    <w:qFormat/>
    <w:uiPriority w:val="99"/>
    <w:rPr>
      <w:color w:val="0000FF"/>
      <w:u w:val="single"/>
    </w:rPr>
  </w:style>
  <w:style w:type="character" w:styleId="16">
    <w:name w:val="HTML Code"/>
    <w:basedOn w:val="9"/>
    <w:semiHidden/>
    <w:unhideWhenUsed/>
    <w:qFormat/>
    <w:uiPriority w:val="99"/>
    <w:rPr>
      <w:rFonts w:ascii="Courier New" w:hAnsi="Courier New"/>
      <w:sz w:val="20"/>
    </w:rPr>
  </w:style>
  <w:style w:type="character" w:styleId="17">
    <w:name w:val="HTML Cite"/>
    <w:basedOn w:val="9"/>
    <w:semiHidden/>
    <w:unhideWhenUsed/>
    <w:qFormat/>
    <w:uiPriority w:val="99"/>
  </w:style>
  <w:style w:type="character" w:customStyle="1" w:styleId="18">
    <w:name w:val="页眉 Char"/>
    <w:basedOn w:val="9"/>
    <w:link w:val="6"/>
    <w:qFormat/>
    <w:uiPriority w:val="99"/>
    <w:rPr>
      <w:sz w:val="18"/>
      <w:szCs w:val="18"/>
    </w:rPr>
  </w:style>
  <w:style w:type="character" w:customStyle="1" w:styleId="19">
    <w:name w:val="页脚 Char"/>
    <w:basedOn w:val="9"/>
    <w:link w:val="5"/>
    <w:qFormat/>
    <w:uiPriority w:val="99"/>
    <w:rPr>
      <w:sz w:val="18"/>
      <w:szCs w:val="18"/>
    </w:rPr>
  </w:style>
  <w:style w:type="character" w:customStyle="1" w:styleId="20">
    <w:name w:val="批注框文本 Char"/>
    <w:basedOn w:val="9"/>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国家统计局</Company>
  <Pages>7</Pages>
  <Words>3158</Words>
  <Characters>3321</Characters>
  <Lines>22</Lines>
  <Paragraphs>6</Paragraphs>
  <TotalTime>4</TotalTime>
  <ScaleCrop>false</ScaleCrop>
  <LinksUpToDate>false</LinksUpToDate>
  <CharactersWithSpaces>3332</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2020-01-22T04:26:00Z</dcterms:created>
  <dc:creator>康磊(拟稿)</dc:creator>
  <cp:lastModifiedBy>tjj</cp:lastModifiedBy>
  <cp:lastPrinted>2022-01-20T00:32:00Z</cp:lastPrinted>
  <dcterms:modified xsi:type="dcterms:W3CDTF">2023-01-19T10:03:46Z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F2BF7FD8B4C847A08D797E1D33DC5FB4</vt:lpwstr>
  </property>
</Properties>
</file>