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360" w:lineRule="atLeast"/>
        <w:jc w:val="center"/>
        <w:rPr>
          <w:rFonts w:hint="eastAsia" w:ascii="仿宋_GB2312" w:hAnsi="宋体" w:eastAsia="仿宋_GB2312" w:cs="宋体"/>
          <w:b/>
          <w:bCs/>
          <w:color w:val="000000"/>
          <w:kern w:val="0"/>
          <w:sz w:val="24"/>
          <w:szCs w:val="24"/>
        </w:rPr>
      </w:pPr>
    </w:p>
    <w:p>
      <w:pPr>
        <w:widowControl/>
        <w:shd w:val="clear" w:color="auto" w:fill="FFFFFF"/>
        <w:wordWrap w:val="0"/>
        <w:spacing w:line="360" w:lineRule="atLeas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宁夏回族自治区水预算与决算编制制度</w:t>
      </w:r>
    </w:p>
    <w:p>
      <w:pPr>
        <w:pStyle w:val="2"/>
        <w:jc w:val="center"/>
        <w:rPr>
          <w:rFonts w:hint="eastAsia" w:ascii="楷体_GB2312" w:hAnsi="楷体_GB2312" w:eastAsia="楷体_GB2312" w:cs="楷体_GB2312"/>
          <w:sz w:val="36"/>
          <w:szCs w:val="36"/>
          <w:lang w:eastAsia="zh-CN"/>
        </w:rPr>
      </w:pPr>
      <w:r>
        <w:rPr>
          <w:rFonts w:hint="eastAsia" w:ascii="楷体_GB2312" w:hAnsi="楷体_GB2312" w:eastAsia="楷体_GB2312" w:cs="楷体_GB2312"/>
          <w:bCs/>
          <w:color w:val="000000"/>
          <w:kern w:val="0"/>
          <w:sz w:val="36"/>
          <w:szCs w:val="36"/>
          <w:lang w:eastAsia="zh-CN"/>
        </w:rPr>
        <w:t>（主要内容）</w:t>
      </w:r>
    </w:p>
    <w:p>
      <w:pPr>
        <w:widowControl/>
        <w:shd w:val="clear" w:color="auto" w:fill="FFFFFF"/>
        <w:wordWrap w:val="0"/>
        <w:autoSpaceDE w:val="0"/>
        <w:spacing w:line="500" w:lineRule="exact"/>
        <w:ind w:firstLine="602"/>
        <w:outlineLvl w:val="0"/>
        <w:rPr>
          <w:rFonts w:hint="eastAsia" w:ascii="黑体" w:hAnsi="黑体" w:eastAsia="黑体" w:cs="宋体"/>
          <w:kern w:val="0"/>
          <w:sz w:val="30"/>
          <w:szCs w:val="30"/>
        </w:rPr>
      </w:pPr>
      <w:bookmarkStart w:id="0" w:name="_GoBack"/>
      <w:bookmarkEnd w:id="0"/>
      <w:r>
        <w:rPr>
          <w:rFonts w:hint="eastAsia" w:ascii="黑体" w:hAnsi="黑体" w:eastAsia="黑体" w:cs="宋体"/>
          <w:bCs/>
          <w:kern w:val="0"/>
          <w:sz w:val="30"/>
          <w:szCs w:val="30"/>
        </w:rPr>
        <w:t>一、调查目的</w:t>
      </w:r>
    </w:p>
    <w:p>
      <w:pPr>
        <w:widowControl/>
        <w:shd w:val="clear" w:color="auto" w:fill="FFFFFF"/>
        <w:wordWrap w:val="0"/>
        <w:autoSpaceDE w:val="0"/>
        <w:spacing w:line="500" w:lineRule="exact"/>
        <w:ind w:firstLine="640" w:firstLineChars="200"/>
        <w:rPr>
          <w:rFonts w:ascii="仿宋_GB2312" w:eastAsia="仿宋_GB2312"/>
          <w:sz w:val="32"/>
          <w:szCs w:val="32"/>
        </w:rPr>
      </w:pPr>
      <w:r>
        <w:rPr>
          <w:rFonts w:hint="eastAsia" w:ascii="仿宋_GB2312" w:eastAsia="仿宋_GB2312"/>
          <w:sz w:val="32"/>
          <w:szCs w:val="32"/>
        </w:rPr>
        <w:t>为加强和规范水预算与决算编制和审核工作，确保水预算与决算编制符合总量控制、水源优化、行业适配和区域协同要求，依据《中华人民共和国水法》《中华人民共和国统计法》《部门统计调查项目管理办法》《宁夏回族自治区节约用水条例》等法律法规及</w:t>
      </w:r>
      <w:r>
        <w:rPr>
          <w:rFonts w:hint="eastAsia" w:ascii="仿宋_GB2312" w:hAnsi="黑体" w:eastAsia="仿宋_GB2312" w:cs="黑体"/>
          <w:sz w:val="32"/>
          <w:szCs w:val="32"/>
        </w:rPr>
        <w:t>《宁夏回族自治区水预算管理试点实施方案》</w:t>
      </w:r>
      <w:r>
        <w:rPr>
          <w:rFonts w:ascii="仿宋_GB2312" w:hAnsi="黑体" w:eastAsia="仿宋_GB2312" w:cs="黑体"/>
          <w:sz w:val="32"/>
          <w:szCs w:val="32"/>
        </w:rPr>
        <w:t>（宁政办规发〔2025〕2号）</w:t>
      </w:r>
      <w:r>
        <w:rPr>
          <w:rFonts w:hint="eastAsia" w:ascii="仿宋_GB2312" w:eastAsia="仿宋_GB2312"/>
          <w:sz w:val="32"/>
          <w:szCs w:val="32"/>
        </w:rPr>
        <w:t>，制定宁夏回族自治区水预算与决算编制制度（下称制度）。</w:t>
      </w:r>
    </w:p>
    <w:p>
      <w:pPr>
        <w:widowControl/>
        <w:shd w:val="clear" w:color="auto" w:fill="FFFFFF"/>
        <w:wordWrap w:val="0"/>
        <w:autoSpaceDE w:val="0"/>
        <w:spacing w:line="500" w:lineRule="exact"/>
        <w:ind w:firstLine="640" w:firstLineChars="200"/>
        <w:rPr>
          <w:rFonts w:ascii="仿宋_GB2312" w:eastAsia="仿宋_GB2312"/>
          <w:sz w:val="32"/>
          <w:szCs w:val="32"/>
        </w:rPr>
      </w:pPr>
      <w:r>
        <w:rPr>
          <w:rFonts w:hint="eastAsia" w:ascii="仿宋_GB2312" w:eastAsia="仿宋_GB2312"/>
          <w:sz w:val="32"/>
          <w:szCs w:val="32"/>
        </w:rPr>
        <w:t>制度的编制是完善用水双控制度的核心支撑，能将双控指标细化</w:t>
      </w:r>
      <w:r>
        <w:rPr>
          <w:rFonts w:hint="eastAsia" w:ascii="仿宋_GB2312" w:eastAsia="仿宋_GB2312"/>
          <w:sz w:val="32"/>
          <w:szCs w:val="32"/>
          <w:lang w:eastAsia="zh-CN"/>
        </w:rPr>
        <w:t>到</w:t>
      </w:r>
      <w:r>
        <w:rPr>
          <w:rFonts w:hint="eastAsia" w:ascii="仿宋_GB2312" w:eastAsia="仿宋_GB2312"/>
          <w:sz w:val="32"/>
          <w:szCs w:val="32"/>
        </w:rPr>
        <w:t>“每单位、每水源”，构建“预算编制-执行预警-额度调整-决算评估”闭环，确保不突破黄河水量分配指标；是衔接取水许可与用水权改革的关键纽带，明确取水许可证为预算管理前提、用水权确权水量为主要依据，实现“合法性—权益性—管控性”三者贯通；</w:t>
      </w:r>
      <w:r>
        <w:rPr>
          <w:rFonts w:ascii="仿宋_GB2312" w:eastAsia="仿宋_GB2312"/>
          <w:sz w:val="32"/>
          <w:szCs w:val="32"/>
        </w:rPr>
        <w:t>是服务黄河流域生态保护的战略需求，优先保障城乡居民生活用水和基本生态用水，将河湖湿地补水、城乡环境用水单独列为生态环境类预算单位，</w:t>
      </w:r>
      <w:r>
        <w:rPr>
          <w:rFonts w:hint="eastAsia" w:ascii="仿宋_GB2312" w:eastAsia="仿宋_GB2312"/>
          <w:sz w:val="32"/>
          <w:szCs w:val="32"/>
        </w:rPr>
        <w:t>避免生态用水被挤占；更是破解基层实操难题的现实需要，</w:t>
      </w:r>
      <w:r>
        <w:rPr>
          <w:rFonts w:ascii="仿宋_GB2312" w:eastAsia="仿宋_GB2312"/>
          <w:sz w:val="32"/>
          <w:szCs w:val="32"/>
        </w:rPr>
        <w:t>通过标准化报表、明确时间节点和审核规则，</w:t>
      </w:r>
      <w:r>
        <w:rPr>
          <w:rFonts w:hint="eastAsia" w:ascii="仿宋_GB2312" w:eastAsia="仿宋_GB2312"/>
          <w:sz w:val="32"/>
          <w:szCs w:val="32"/>
        </w:rPr>
        <w:t>为各级管理部门和用水单位提供标准化操作指南，推动水资源管理从被动应对向主动调控转型，</w:t>
      </w:r>
      <w:r>
        <w:rPr>
          <w:rFonts w:ascii="仿宋_GB2312" w:eastAsia="仿宋_GB2312"/>
          <w:sz w:val="32"/>
          <w:szCs w:val="32"/>
        </w:rPr>
        <w:t>解决“县级不知如何审、单位不知如何填”的实操难题。</w:t>
      </w:r>
    </w:p>
    <w:p>
      <w:pPr>
        <w:widowControl/>
        <w:shd w:val="clear" w:color="auto" w:fill="FFFFFF"/>
        <w:wordWrap w:val="0"/>
        <w:autoSpaceDE w:val="0"/>
        <w:spacing w:line="500" w:lineRule="exact"/>
        <w:ind w:firstLine="600" w:firstLineChars="200"/>
        <w:outlineLvl w:val="0"/>
        <w:rPr>
          <w:rFonts w:hint="eastAsia" w:ascii="黑体" w:hAnsi="黑体" w:eastAsia="黑体" w:cs="宋体"/>
          <w:bCs/>
          <w:kern w:val="0"/>
          <w:sz w:val="30"/>
          <w:szCs w:val="30"/>
        </w:rPr>
      </w:pPr>
      <w:r>
        <w:rPr>
          <w:rFonts w:hint="eastAsia" w:ascii="黑体" w:hAnsi="黑体" w:eastAsia="黑体" w:cs="宋体"/>
          <w:bCs/>
          <w:kern w:val="0"/>
          <w:sz w:val="30"/>
          <w:szCs w:val="30"/>
        </w:rPr>
        <w:t>二、调查内容</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水预算与决算调查聚焦全行业水预算单位，实现对各行业、各水源取用水量的精细化核算，具体分为水预算报表、水预算执行报表、水预算调整报表、水预算决算报表、综合汇总报表及配套报告大纲五类开展统计。</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第一类为水预算报表，由各类水预算单位填报，共14张，包括灌区、规模化养殖、工业自备水源、工业公共供水、服务业自备水源、服务业公共供水、河湖湿地、城乡环境、供水工程等专项报表及区域综合报表、单位基准额度汇总报表。</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核心统计指标包括黄河水、当地地表水、地下水、非常规水分水源预算额度，农业、工业、建筑业、服务业、居民生活、河湖补水、生态环境分行业用水预算，灌溉面积、产品产量、供水人数等用水规模，以及亩均用水量、单位产品用水量等用水定额；</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（2）区域综合报表与基准额度汇总报表由市县水行政主管部门填报，反映辖区内分区域、分行业、分水源预算总量及分配情况。</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第二类为水预算执行报表，由水预算单位和市县水行政主管部门分级填报，共2张，包括单位执行报表和区域执行报表。</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（1）单位执行报表统计分水源基准额度、调整后额度、季度累计用水量及执行进度，设置预警阈值；</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（2）区域执行报表汇总辖区内分行业预算执行情况，统计预警单位数量、超进度水量，支撑动态管控。</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第三类为水预算调整报表，由需调整预算的水预算单位及市县水行政主管部门填报，共2张，包括单位调整报表和区域调整报表。</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（1）核心统计指标包括调整原因、分水源调整额度、调整后总额度，关联取水许可、用水权确权变动情况；</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（2）区域调整报表汇总跨县区、跨行业预算调整情况，确保总量平衡。</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第四类为水预算决算报表，由各类水预算单位及市县水行政主管部门填报，共14张，涵盖各行业专项决算报表及区域综合决算报表、单位年终决算汇总报表。</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（1）核心统计指标包括基准额度、实际用水量、分水源分行业盈余或超用水量、偏差原因、绩效指标等；</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（2）区域综合决算报表反映辖区内分水源、分行业决算总量，校验与用水总量双控指标的一致性。</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第五类为配套报告大纲，包括自治区、地市、县区年度水预算报告大纲和年度水预算决算报告大纲，明确报告核心章节：</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（1）预算报告涵盖区域概况、名录库建设、分水源分行业预算核算、预算平衡情况及保障措施；</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（2）决算报告包括执行总体情况、分水源分行业决算、执行分析与绩效评价、问题与优化建议。</w:t>
      </w:r>
    </w:p>
    <w:p>
      <w:pPr>
        <w:widowControl/>
        <w:shd w:val="clear" w:color="auto" w:fill="FFFFFF"/>
        <w:wordWrap w:val="0"/>
        <w:autoSpaceDE w:val="0"/>
        <w:spacing w:line="500" w:lineRule="exact"/>
        <w:ind w:firstLine="600" w:firstLineChars="200"/>
        <w:outlineLvl w:val="0"/>
        <w:rPr>
          <w:rFonts w:hint="eastAsia" w:ascii="黑体" w:hAnsi="黑体" w:eastAsia="黑体" w:cs="宋体"/>
          <w:bCs/>
          <w:kern w:val="0"/>
          <w:sz w:val="30"/>
          <w:szCs w:val="30"/>
        </w:rPr>
      </w:pPr>
      <w:r>
        <w:rPr>
          <w:rFonts w:hint="eastAsia" w:ascii="黑体" w:hAnsi="黑体" w:eastAsia="黑体" w:cs="宋体"/>
          <w:bCs/>
          <w:kern w:val="0"/>
          <w:sz w:val="30"/>
          <w:szCs w:val="30"/>
        </w:rPr>
        <w:t>三、调查对象及范围</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本制度调查对象从供需两侧分别界定，实现全区域、全水源、全行业、全用户覆盖，涵盖全行业取用水单位与全口径供水水源。需求侧覆盖农业、工业、服务业、居民生活和人工生态环境等全行业取用水单位。其中，农业水预算对象包括引扬黄灌区、库井灌区、井灌区和直接从河湖取水的灌区水预算单位以及规模以上畜禽养殖水预算单位；工业和服务业水预算对象包括具有自备水源水预算单位和仅从公共供水工程取水的水预算单位；人工生态环境水预算对象包括河湖湿地和城乡环境水预算单位。供给侧包括各类供水工程管理单位，具体包括引扬黄灌区供水工程管理单位、水库灌区供水工程管理单位、公共供水企业和供水工程管理单位。</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调查范围为宁夏回族自治区全域，涵盖自治区、5个地级市、22个县（区）和宁东能源化工基地。</w:t>
      </w:r>
    </w:p>
    <w:p>
      <w:pPr>
        <w:widowControl/>
        <w:shd w:val="clear" w:color="auto" w:fill="FFFFFF"/>
        <w:wordWrap w:val="0"/>
        <w:autoSpaceDE w:val="0"/>
        <w:spacing w:line="500" w:lineRule="exact"/>
        <w:ind w:firstLine="600" w:firstLineChars="200"/>
        <w:outlineLvl w:val="0"/>
        <w:rPr>
          <w:rFonts w:hint="eastAsia" w:ascii="黑体" w:hAnsi="黑体" w:eastAsia="黑体" w:cs="宋体"/>
          <w:bCs/>
          <w:kern w:val="0"/>
          <w:sz w:val="30"/>
          <w:szCs w:val="30"/>
        </w:rPr>
      </w:pPr>
      <w:r>
        <w:rPr>
          <w:rFonts w:hint="eastAsia" w:ascii="黑体" w:hAnsi="黑体" w:eastAsia="黑体" w:cs="宋体"/>
          <w:bCs/>
          <w:kern w:val="0"/>
          <w:sz w:val="30"/>
          <w:szCs w:val="30"/>
        </w:rPr>
        <w:t>四、调查方法</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本制度根据调查内容与对象特征，综合运用全面调查与重点调查相结合的方法。其中，水预算单位名录依托现有取水许可台账、用水统计调查名录及用水权确权成果，对全行业的水预算单位（包括农业灌区、工业企业、公共供水企业等）信息进行全面摸底与动态更新，全面采集各单位基础信息、取水信息、用水信息和计量信息，实现全区域、全水源、全行业及全用户的调查覆盖，为水预算与决算数据统计奠定完整的单位基础；在全面调查的基础上，针对水预算管理的重点领域、重点对象开展精细化重点调查。聚焦年用水量100万立方米以上工业企业、大中型灌区、规模化养殖单位、重点公共供水企业、河湖湿地补水及城乡环境等核心水预算单位，以及引扬黄灌区供水工程、重点水库灌区供水工程等关键供水工程管理单位，实施全流程、分水源、分行业的精准数据统计，要求此类重点单位严格填报各类水预算、执行、调整及决算报表，实现重点管控对象数据的详实采集、系统汇总与精准核算，为区域水资源总量管控和动态调控提供核心支撑。</w:t>
      </w:r>
    </w:p>
    <w:p>
      <w:pPr>
        <w:widowControl/>
        <w:shd w:val="clear" w:color="auto" w:fill="FFFFFF"/>
        <w:wordWrap w:val="0"/>
        <w:autoSpaceDE w:val="0"/>
        <w:spacing w:line="500" w:lineRule="exact"/>
        <w:ind w:firstLine="602"/>
        <w:outlineLvl w:val="0"/>
        <w:rPr>
          <w:rFonts w:hint="eastAsia" w:ascii="黑体" w:hAnsi="黑体" w:eastAsia="黑体" w:cs="宋体"/>
          <w:bCs/>
          <w:kern w:val="0"/>
          <w:sz w:val="30"/>
          <w:szCs w:val="30"/>
        </w:rPr>
      </w:pPr>
      <w:r>
        <w:rPr>
          <w:rFonts w:hint="eastAsia" w:ascii="黑体" w:hAnsi="黑体" w:eastAsia="黑体" w:cs="宋体"/>
          <w:bCs/>
          <w:kern w:val="0"/>
          <w:sz w:val="30"/>
          <w:szCs w:val="30"/>
        </w:rPr>
        <w:t>五、组织方式</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本制度建立自治区统筹、市审核、县执行的三级管理责任体系，由宁夏回族自治区各级水行政管理部门作为组织实施单位，负责辖区内数据的收集、审核与汇总。各类水预算单位通过水预算报表系统进行数据填报，县级水行政管理部门负责对本辖区填报数据的收集、人工核查与实地抽查；市级水行政管理部门负责区域数据与市级用水总量指标的衔接性、跨县项目数据一致性与数据质量审核；最终由自治区水利厅完成全区数据的最终汇总与综合分析，重点分析全区数据与黄河水量分配指标、地下水双控指标的一致性，跨市数据平衡，专项指标达标情况等。</w:t>
      </w:r>
    </w:p>
    <w:p>
      <w:pPr>
        <w:widowControl/>
        <w:shd w:val="clear" w:color="auto" w:fill="FFFFFF"/>
        <w:wordWrap w:val="0"/>
        <w:autoSpaceDE w:val="0"/>
        <w:spacing w:line="500" w:lineRule="exact"/>
        <w:ind w:firstLine="602"/>
        <w:outlineLvl w:val="0"/>
        <w:rPr>
          <w:rFonts w:hint="eastAsia" w:ascii="黑体" w:hAnsi="黑体" w:eastAsia="黑体" w:cs="宋体"/>
          <w:bCs/>
          <w:kern w:val="0"/>
          <w:sz w:val="30"/>
          <w:szCs w:val="30"/>
        </w:rPr>
      </w:pPr>
      <w:r>
        <w:rPr>
          <w:rFonts w:hint="eastAsia" w:ascii="黑体" w:hAnsi="黑体" w:eastAsia="黑体" w:cs="宋体"/>
          <w:bCs/>
          <w:kern w:val="0"/>
          <w:sz w:val="30"/>
          <w:szCs w:val="30"/>
        </w:rPr>
        <w:t>六、数据发布</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本制度数据统计结</w:t>
      </w:r>
      <w:r>
        <w:rPr>
          <w:rFonts w:hint="eastAsia" w:ascii="仿宋_GB2312" w:eastAsia="仿宋_GB2312"/>
          <w:sz w:val="32"/>
          <w:szCs w:val="32"/>
          <w:lang w:eastAsia="zh-CN"/>
        </w:rPr>
        <w:t>果以</w:t>
      </w:r>
      <w:r>
        <w:rPr>
          <w:rFonts w:hint="eastAsia" w:ascii="仿宋_GB2312" w:eastAsia="仿宋_GB2312"/>
          <w:sz w:val="32"/>
          <w:szCs w:val="32"/>
        </w:rPr>
        <w:t>年度水预算报告与决算报告为主要载体，通过自治区水利厅官方网站向社会主动公开。水预算与决算各类指标明细数据可按法定程序向水资源管理部门申请获取，在确保数据安全与合规的前提下提供共享服务。</w:t>
      </w:r>
    </w:p>
    <w:p>
      <w:pPr>
        <w:widowControl/>
        <w:shd w:val="clear" w:color="auto" w:fill="FFFFFF"/>
        <w:wordWrap w:val="0"/>
        <w:autoSpaceDE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为保障数据安全与规范使用，建立</w:t>
      </w:r>
      <w:r>
        <w:rPr>
          <w:rFonts w:hint="eastAsia" w:ascii="仿宋_GB2312" w:eastAsia="仿宋_GB2312"/>
          <w:sz w:val="32"/>
          <w:szCs w:val="32"/>
          <w:lang w:eastAsia="zh-CN"/>
        </w:rPr>
        <w:t>“</w:t>
      </w:r>
      <w:r>
        <w:rPr>
          <w:rFonts w:hint="eastAsia" w:ascii="仿宋_GB2312" w:eastAsia="仿宋_GB2312"/>
          <w:sz w:val="32"/>
          <w:szCs w:val="32"/>
        </w:rPr>
        <w:t>单位自审-县级初审-市级复审</w:t>
      </w:r>
      <w:r>
        <w:rPr>
          <w:rFonts w:hint="eastAsia" w:ascii="仿宋_GB2312" w:eastAsia="仿宋_GB2312"/>
          <w:sz w:val="32"/>
          <w:szCs w:val="32"/>
          <w:lang w:eastAsia="zh-CN"/>
        </w:rPr>
        <w:t>”</w:t>
      </w:r>
      <w:r>
        <w:rPr>
          <w:rFonts w:hint="eastAsia" w:ascii="仿宋_GB2312" w:eastAsia="仿宋_GB2312"/>
          <w:sz w:val="32"/>
          <w:szCs w:val="32"/>
        </w:rPr>
        <w:t>三级审核制度，各级每年开展抽查；在数据管理全流程内实行分级共享与权限管理制度，根据数据敏感程度设置不同访问层级，对涉及国家秘密、商业秘密及单个取用水户具体用水数据严格不予公开；同时，建立跨部门数据协作机制，明确各方使用权限与责任，严禁将数据用于商业用途或泄露个人隐私，从制度与技术双重层面筑牢数据安全防线，确保数据合规使用与安全共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E"/>
    <w:rsid w:val="00187CA8"/>
    <w:rsid w:val="001E1612"/>
    <w:rsid w:val="0023452F"/>
    <w:rsid w:val="00261F17"/>
    <w:rsid w:val="003423EA"/>
    <w:rsid w:val="00391631"/>
    <w:rsid w:val="003B3ADD"/>
    <w:rsid w:val="003D4726"/>
    <w:rsid w:val="00512F30"/>
    <w:rsid w:val="00567B42"/>
    <w:rsid w:val="00627DBD"/>
    <w:rsid w:val="007A660E"/>
    <w:rsid w:val="007D6F20"/>
    <w:rsid w:val="008734A4"/>
    <w:rsid w:val="008757F7"/>
    <w:rsid w:val="008D6C47"/>
    <w:rsid w:val="00907AAB"/>
    <w:rsid w:val="0093137E"/>
    <w:rsid w:val="0097394F"/>
    <w:rsid w:val="009A442E"/>
    <w:rsid w:val="009C4BA7"/>
    <w:rsid w:val="00AC1149"/>
    <w:rsid w:val="00B3162E"/>
    <w:rsid w:val="00B45ADB"/>
    <w:rsid w:val="00BE10E9"/>
    <w:rsid w:val="00C572FC"/>
    <w:rsid w:val="00DB4B9F"/>
    <w:rsid w:val="00EC148F"/>
    <w:rsid w:val="00F003BE"/>
    <w:rsid w:val="01401F5A"/>
    <w:rsid w:val="0D8E6B48"/>
    <w:rsid w:val="108468A6"/>
    <w:rsid w:val="14DC1B42"/>
    <w:rsid w:val="178211BE"/>
    <w:rsid w:val="181D494B"/>
    <w:rsid w:val="1EAC6902"/>
    <w:rsid w:val="27BB8B08"/>
    <w:rsid w:val="29FF03C2"/>
    <w:rsid w:val="44F6162D"/>
    <w:rsid w:val="4CC759FC"/>
    <w:rsid w:val="59270D1C"/>
    <w:rsid w:val="5A931CE7"/>
    <w:rsid w:val="624707C3"/>
    <w:rsid w:val="67FF22DA"/>
    <w:rsid w:val="731735E6"/>
    <w:rsid w:val="73682094"/>
    <w:rsid w:val="75B87F29"/>
    <w:rsid w:val="7A0E644E"/>
    <w:rsid w:val="BF3FAFDE"/>
    <w:rsid w:val="DFFF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1"/>
    <w:basedOn w:val="1"/>
    <w:qFormat/>
    <w:uiPriority w:val="0"/>
    <w:pPr>
      <w:spacing w:before="100" w:beforeAutospacing="1" w:after="100" w:afterAutospacing="1" w:line="480" w:lineRule="auto"/>
      <w:ind w:left="420" w:leftChars="200"/>
    </w:pPr>
    <w:rPr>
      <w:rFonts w:ascii="宋体" w:hAnsi="Times New Roman"/>
      <w:kern w:val="0"/>
      <w:sz w:val="34"/>
      <w:szCs w:val="3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Calibri" w:hAnsi="Calibri" w:eastAsia="宋体" w:cs="Times New Roman"/>
      <w:kern w:val="2"/>
      <w:sz w:val="21"/>
      <w:szCs w:val="21"/>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3067</Words>
  <Characters>3075</Characters>
  <Lines>71</Lines>
  <Paragraphs>45</Paragraphs>
  <TotalTime>121</TotalTime>
  <ScaleCrop>false</ScaleCrop>
  <LinksUpToDate>false</LinksUpToDate>
  <CharactersWithSpaces>3088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2026-03-10T10:07:00Z</dcterms:created>
  <dc:creator>15713202317@163.com</dc:creator>
  <cp:lastModifiedBy>王蓉</cp:lastModifiedBy>
  <dcterms:modified xsi:type="dcterms:W3CDTF">2026-04-21T15:35:07Z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66573A973D4844DAAFF6D951055C3561_13</vt:lpwstr>
  </property>
  <property fmtid="{D5CDD505-2E9C-101B-9397-08002B2CF9AE}" pid="4" name="KSOTemplateDocerSaveRecord">
    <vt:lpwstr>eyJoZGlkIjoiNDk2Y2NjMTA2OGY2YzgxNDNlNTNhZjEzMjRhOTZiNTEiLCJ1c2VySWQiOiI0MDY0NjQzODUifQ==</vt:lpwstr>
  </property>
</Properties>
</file>