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宁夏</w:t>
      </w:r>
      <w:r>
        <w:rPr>
          <w:rFonts w:hint="eastAsia" w:ascii="方正小标宋简体" w:hAnsi="方正小标宋简体" w:eastAsia="方正小标宋简体" w:cs="方正小标宋简体"/>
          <w:b w:val="0"/>
          <w:bCs w:val="0"/>
          <w:sz w:val="44"/>
          <w:szCs w:val="44"/>
          <w:lang w:val="en-US" w:eastAsia="zh-CN"/>
        </w:rPr>
        <w:t>社会</w:t>
      </w:r>
      <w:r>
        <w:rPr>
          <w:rFonts w:hint="eastAsia" w:ascii="方正小标宋简体" w:hAnsi="方正小标宋简体" w:eastAsia="方正小标宋简体" w:cs="方正小标宋简体"/>
          <w:b w:val="0"/>
          <w:bCs w:val="0"/>
          <w:sz w:val="44"/>
          <w:szCs w:val="44"/>
        </w:rPr>
        <w:t>物流统计</w:t>
      </w:r>
      <w:r>
        <w:rPr>
          <w:rFonts w:hint="eastAsia" w:ascii="方正小标宋简体" w:hAnsi="方正小标宋简体" w:eastAsia="方正小标宋简体" w:cs="方正小标宋简体"/>
          <w:b w:val="0"/>
          <w:bCs w:val="0"/>
          <w:sz w:val="44"/>
          <w:szCs w:val="44"/>
          <w:lang w:val="en-US" w:eastAsia="zh-CN"/>
        </w:rPr>
        <w:t>报表</w:t>
      </w:r>
      <w:r>
        <w:rPr>
          <w:rFonts w:hint="eastAsia" w:ascii="方正小标宋简体" w:hAnsi="方正小标宋简体" w:eastAsia="方正小标宋简体" w:cs="方正小标宋简体"/>
          <w:b w:val="0"/>
          <w:bCs w:val="0"/>
          <w:sz w:val="44"/>
          <w:szCs w:val="44"/>
        </w:rPr>
        <w:t>制度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b/>
          <w:bCs/>
          <w:sz w:val="32"/>
          <w:szCs w:val="32"/>
        </w:rPr>
      </w:pPr>
      <w:r>
        <w:rPr>
          <w:b/>
          <w:bCs/>
          <w:sz w:val="32"/>
          <w:szCs w:val="32"/>
        </w:rPr>
        <w:t>(主要内容)</w:t>
      </w:r>
    </w:p>
    <w:p>
      <w:pPr>
        <w:widowControl/>
        <w:shd w:val="clear" w:color="auto" w:fill="FFFFFF"/>
        <w:wordWrap w:val="0"/>
        <w:spacing w:line="360" w:lineRule="atLeast"/>
        <w:ind w:firstLine="602"/>
        <w:jc w:val="left"/>
        <w:rPr>
          <w:rFonts w:ascii="黑体" w:hAnsi="黑体" w:eastAsia="黑体" w:cs="宋体"/>
          <w:bCs/>
          <w:color w:val="333333"/>
          <w:kern w:val="0"/>
          <w:sz w:val="30"/>
          <w:szCs w:val="30"/>
        </w:rPr>
      </w:pPr>
    </w:p>
    <w:p>
      <w:pPr>
        <w:widowControl/>
        <w:shd w:val="clear" w:color="auto" w:fill="FFFFFF"/>
        <w:wordWrap w:val="0"/>
        <w:spacing w:line="360" w:lineRule="atLeast"/>
        <w:ind w:firstLine="602"/>
        <w:jc w:val="left"/>
        <w:rPr>
          <w:rFonts w:hint="eastAsia" w:ascii="黑体" w:hAnsi="黑体" w:eastAsia="黑体" w:cs="黑体"/>
          <w:b/>
          <w:bCs/>
          <w:color w:val="333333"/>
          <w:kern w:val="2"/>
          <w:sz w:val="32"/>
          <w:szCs w:val="32"/>
          <w:shd w:val="clear" w:color="auto" w:fill="FFFFFF"/>
          <w:lang w:val="en-US" w:eastAsia="zh-CN" w:bidi="ar-SA"/>
        </w:rPr>
      </w:pPr>
      <w:r>
        <w:rPr>
          <w:rFonts w:hint="eastAsia" w:ascii="黑体" w:hAnsi="黑体" w:eastAsia="黑体" w:cs="黑体"/>
          <w:b/>
          <w:bCs/>
          <w:color w:val="333333"/>
          <w:kern w:val="2"/>
          <w:sz w:val="32"/>
          <w:szCs w:val="32"/>
          <w:shd w:val="clear" w:color="auto" w:fill="FFFFFF"/>
          <w:lang w:val="en-US" w:eastAsia="zh-CN" w:bidi="ar-SA"/>
        </w:rPr>
        <w:t>一、调查目的</w:t>
      </w:r>
    </w:p>
    <w:p>
      <w:pPr>
        <w:widowControl/>
        <w:shd w:val="clear" w:color="auto" w:fill="FFFFFF"/>
        <w:wordWrap w:val="0"/>
        <w:spacing w:line="360" w:lineRule="atLeast"/>
        <w:ind w:firstLine="640" w:firstLineChars="200"/>
        <w:jc w:val="left"/>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为了解我区物流活动的规模、结构和发展水平，及时反映我区物流运行状况，为各级党委、</w:t>
      </w:r>
      <w:bookmarkStart w:id="0" w:name="_GoBack"/>
      <w:bookmarkEnd w:id="0"/>
      <w:r>
        <w:rPr>
          <w:rFonts w:hint="eastAsia" w:ascii="仿宋_GB2312" w:hAnsi="Arial" w:eastAsia="仿宋_GB2312" w:cs="Arial"/>
          <w:color w:val="333333"/>
          <w:kern w:val="2"/>
          <w:sz w:val="32"/>
          <w:szCs w:val="32"/>
          <w:shd w:val="clear" w:color="auto" w:fill="FFFFFF"/>
          <w:lang w:val="en-US" w:eastAsia="zh-CN" w:bidi="ar-SA"/>
        </w:rPr>
        <w:t>政府及有关部门制定有关物流发展政策和发展规划，加强宏观管理和决策提供依据，指导企业生产经营活动，依据《中华人民共和国统计法》，特制定本制度。</w:t>
      </w:r>
    </w:p>
    <w:p>
      <w:pPr>
        <w:widowControl/>
        <w:shd w:val="clear" w:color="auto" w:fill="FFFFFF"/>
        <w:wordWrap w:val="0"/>
        <w:spacing w:line="360" w:lineRule="atLeast"/>
        <w:ind w:firstLine="602"/>
        <w:jc w:val="left"/>
        <w:rPr>
          <w:rFonts w:hint="eastAsia" w:ascii="黑体" w:hAnsi="黑体" w:eastAsia="黑体" w:cs="黑体"/>
          <w:b/>
          <w:bCs/>
          <w:color w:val="333333"/>
          <w:kern w:val="2"/>
          <w:sz w:val="32"/>
          <w:szCs w:val="32"/>
          <w:shd w:val="clear" w:color="auto" w:fill="FFFFFF"/>
          <w:lang w:val="en-US" w:eastAsia="zh-CN" w:bidi="ar-SA"/>
        </w:rPr>
      </w:pPr>
      <w:r>
        <w:rPr>
          <w:rFonts w:hint="eastAsia" w:ascii="黑体" w:hAnsi="黑体" w:eastAsia="黑体" w:cs="黑体"/>
          <w:b/>
          <w:bCs/>
          <w:color w:val="333333"/>
          <w:kern w:val="2"/>
          <w:sz w:val="32"/>
          <w:szCs w:val="32"/>
          <w:shd w:val="clear" w:color="auto" w:fill="FFFFFF"/>
          <w:lang w:val="en-US" w:eastAsia="zh-CN" w:bidi="ar-SA"/>
        </w:rPr>
        <w:t>二、调查内容</w:t>
      </w:r>
    </w:p>
    <w:p>
      <w:pPr>
        <w:widowControl/>
        <w:shd w:val="clear" w:color="auto" w:fill="FFFFFF"/>
        <w:wordWrap w:val="0"/>
        <w:spacing w:line="360" w:lineRule="atLeast"/>
        <w:ind w:firstLine="640" w:firstLineChars="200"/>
        <w:jc w:val="left"/>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本制度的基层调查表分为两部分。</w:t>
      </w:r>
    </w:p>
    <w:p>
      <w:pPr>
        <w:widowControl/>
        <w:shd w:val="clear" w:color="auto" w:fill="FFFFFF"/>
        <w:wordWrap w:val="0"/>
        <w:spacing w:line="360" w:lineRule="atLeast"/>
        <w:ind w:firstLine="640" w:firstLineChars="200"/>
        <w:jc w:val="left"/>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1、物流企业经营情况表主要调查物流企业的经营活动情况；</w:t>
      </w:r>
    </w:p>
    <w:p>
      <w:pPr>
        <w:widowControl/>
        <w:shd w:val="clear" w:color="auto" w:fill="FFFFFF"/>
        <w:wordWrap w:val="0"/>
        <w:spacing w:line="360" w:lineRule="atLeast"/>
        <w:ind w:firstLine="640" w:firstLineChars="200"/>
        <w:jc w:val="left"/>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2、企业物流状况表主要调查工业、批发和零售业（以下同）企业采购、销售、回收、废弃而发生的物流业务与成本情况。</w:t>
      </w:r>
    </w:p>
    <w:p>
      <w:pPr>
        <w:widowControl/>
        <w:shd w:val="clear" w:color="auto" w:fill="FFFFFF"/>
        <w:wordWrap w:val="0"/>
        <w:spacing w:line="360" w:lineRule="atLeast"/>
        <w:ind w:firstLine="602"/>
        <w:jc w:val="left"/>
        <w:rPr>
          <w:rFonts w:hint="eastAsia" w:ascii="黑体" w:hAnsi="黑体" w:eastAsia="黑体" w:cs="黑体"/>
          <w:b/>
          <w:bCs/>
          <w:color w:val="333333"/>
          <w:kern w:val="2"/>
          <w:sz w:val="32"/>
          <w:szCs w:val="32"/>
          <w:shd w:val="clear" w:color="auto" w:fill="FFFFFF"/>
          <w:lang w:val="en-US" w:eastAsia="zh-CN" w:bidi="ar-SA"/>
        </w:rPr>
      </w:pPr>
      <w:r>
        <w:rPr>
          <w:rFonts w:hint="eastAsia" w:ascii="黑体" w:hAnsi="黑体" w:eastAsia="黑体" w:cs="黑体"/>
          <w:b/>
          <w:bCs/>
          <w:color w:val="333333"/>
          <w:kern w:val="2"/>
          <w:sz w:val="32"/>
          <w:szCs w:val="32"/>
          <w:shd w:val="clear" w:color="auto" w:fill="FFFFFF"/>
          <w:lang w:val="en-US" w:eastAsia="zh-CN" w:bidi="ar-SA"/>
        </w:rPr>
        <w:t>三、调查对象及范围</w:t>
      </w:r>
    </w:p>
    <w:p>
      <w:pPr>
        <w:widowControl/>
        <w:shd w:val="clear" w:color="auto" w:fill="FFFFFF"/>
        <w:wordWrap w:val="0"/>
        <w:spacing w:line="360" w:lineRule="atLeast"/>
        <w:ind w:firstLine="640" w:firstLineChars="200"/>
        <w:jc w:val="left"/>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调查范围为宁夏回族自治区从事工业、批发和零售业等货物生产、流通的各种经济类型的法人企业，以及物流业各种经济类型的法人企业。从事社会物流服务活动涉及的相关行业，参照国家标准《国民经济行业分类》（GB/T 4754-2017）确定。</w:t>
      </w:r>
    </w:p>
    <w:p>
      <w:pPr>
        <w:widowControl/>
        <w:shd w:val="clear" w:color="auto" w:fill="FFFFFF"/>
        <w:wordWrap w:val="0"/>
        <w:spacing w:line="360" w:lineRule="atLeast"/>
        <w:ind w:firstLine="602"/>
        <w:jc w:val="left"/>
        <w:rPr>
          <w:rFonts w:hint="eastAsia" w:ascii="黑体" w:hAnsi="黑体" w:eastAsia="黑体" w:cs="黑体"/>
          <w:b/>
          <w:bCs/>
          <w:color w:val="333333"/>
          <w:kern w:val="2"/>
          <w:sz w:val="32"/>
          <w:szCs w:val="32"/>
          <w:shd w:val="clear" w:color="auto" w:fill="FFFFFF"/>
          <w:lang w:val="en-US" w:eastAsia="zh-CN" w:bidi="ar-SA"/>
        </w:rPr>
      </w:pPr>
      <w:r>
        <w:rPr>
          <w:rFonts w:hint="eastAsia" w:ascii="黑体" w:hAnsi="黑体" w:eastAsia="黑体" w:cs="黑体"/>
          <w:b/>
          <w:bCs/>
          <w:color w:val="333333"/>
          <w:kern w:val="2"/>
          <w:sz w:val="32"/>
          <w:szCs w:val="32"/>
          <w:shd w:val="clear" w:color="auto" w:fill="FFFFFF"/>
          <w:lang w:val="en-US" w:eastAsia="zh-CN" w:bidi="ar-SA"/>
        </w:rPr>
        <w:t>四、调查方法</w:t>
      </w:r>
    </w:p>
    <w:p>
      <w:pPr>
        <w:widowControl/>
        <w:shd w:val="clear" w:color="auto" w:fill="FFFFFF"/>
        <w:wordWrap w:val="0"/>
        <w:spacing w:line="360" w:lineRule="atLeast"/>
        <w:ind w:firstLine="640" w:firstLineChars="200"/>
        <w:jc w:val="left"/>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调查方法采取重点调查。基层调查表按报告期分为年度报表和定期报表。由宁夏现代物流协会负责报表的布置、收集和超级汇总。</w:t>
      </w:r>
    </w:p>
    <w:p>
      <w:pPr>
        <w:widowControl/>
        <w:shd w:val="clear" w:color="auto" w:fill="FFFFFF"/>
        <w:wordWrap w:val="0"/>
        <w:spacing w:line="360" w:lineRule="atLeast"/>
        <w:ind w:firstLine="640" w:firstLineChars="200"/>
        <w:jc w:val="left"/>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本制度基层调查表调查范围主要是：一是从事工业、批发和零售业等货物生产、流通的各种经济类型的法人企业，以及物流业各种经济类型的法人企业。对工业、批发和零售业企业采取重点调查，每个行业、每个产品选择2-3家企业，主要调查采购、销售、回收、废弃的物流与成本情况；二是物流企业以30%比率进行重点调查（A级物流企业全部调查），主要调查物流业务经营情况及运营状况。</w:t>
      </w:r>
    </w:p>
    <w:p>
      <w:pPr>
        <w:widowControl/>
        <w:shd w:val="clear" w:color="auto" w:fill="FFFFFF"/>
        <w:wordWrap w:val="0"/>
        <w:spacing w:line="360" w:lineRule="atLeast"/>
        <w:ind w:firstLine="640" w:firstLineChars="200"/>
        <w:jc w:val="left"/>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调查企业请通过指定网址（宁夏回族自治区物流行业运行监测平台：https://nx.qgwl.org/template/），报送相关统计数据，也可采用电子邮件传送报表。</w:t>
      </w:r>
    </w:p>
    <w:p>
      <w:pPr>
        <w:widowControl/>
        <w:shd w:val="clear" w:color="auto" w:fill="FFFFFF"/>
        <w:wordWrap w:val="0"/>
        <w:spacing w:line="360" w:lineRule="atLeast"/>
        <w:ind w:firstLine="602"/>
        <w:jc w:val="left"/>
        <w:rPr>
          <w:rFonts w:hint="eastAsia" w:ascii="黑体" w:hAnsi="黑体" w:eastAsia="黑体" w:cs="黑体"/>
          <w:b/>
          <w:bCs/>
          <w:color w:val="333333"/>
          <w:kern w:val="2"/>
          <w:sz w:val="32"/>
          <w:szCs w:val="32"/>
          <w:shd w:val="clear" w:color="auto" w:fill="FFFFFF"/>
          <w:lang w:val="en-US" w:eastAsia="zh-CN" w:bidi="ar-SA"/>
        </w:rPr>
      </w:pPr>
      <w:r>
        <w:rPr>
          <w:rFonts w:hint="eastAsia" w:ascii="黑体" w:hAnsi="黑体" w:eastAsia="黑体" w:cs="黑体"/>
          <w:b/>
          <w:bCs/>
          <w:color w:val="333333"/>
          <w:kern w:val="2"/>
          <w:sz w:val="32"/>
          <w:szCs w:val="32"/>
          <w:shd w:val="clear" w:color="auto" w:fill="FFFFFF"/>
          <w:lang w:val="en-US" w:eastAsia="zh-CN" w:bidi="ar-SA"/>
        </w:rPr>
        <w:t>五、组织方式</w:t>
      </w:r>
    </w:p>
    <w:p>
      <w:pPr>
        <w:widowControl/>
        <w:shd w:val="clear" w:color="auto" w:fill="FFFFFF"/>
        <w:wordWrap w:val="0"/>
        <w:spacing w:line="360" w:lineRule="atLeast"/>
        <w:ind w:firstLine="640" w:firstLineChars="200"/>
        <w:jc w:val="left"/>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本制度是按照国家发展和改革委员会、中国物流与采购联合会联合制定的制度精神，结合我区实际情况开展所辖区域的物流统计工作，确保全国范围内物流统计方法的统一性，统计口径的一致性和统计结果的可比性，由宁夏现代物流协会负责报表的布置、收集和超级汇总，我区物流统计及重点企业调查资料将及时报送国家发展改革委经济运行调节局和中国物流与采购联合会。</w:t>
      </w:r>
    </w:p>
    <w:p>
      <w:pPr>
        <w:widowControl/>
        <w:shd w:val="clear" w:color="auto" w:fill="FFFFFF"/>
        <w:wordWrap w:val="0"/>
        <w:spacing w:line="360" w:lineRule="atLeast"/>
        <w:ind w:firstLine="602"/>
        <w:jc w:val="left"/>
        <w:rPr>
          <w:rFonts w:hint="eastAsia" w:ascii="黑体" w:hAnsi="黑体" w:eastAsia="黑体" w:cs="黑体"/>
          <w:b/>
          <w:bCs/>
          <w:color w:val="333333"/>
          <w:kern w:val="2"/>
          <w:sz w:val="32"/>
          <w:szCs w:val="32"/>
          <w:shd w:val="clear" w:color="auto" w:fill="FFFFFF"/>
          <w:lang w:val="en-US" w:eastAsia="zh-CN" w:bidi="ar-SA"/>
        </w:rPr>
      </w:pPr>
      <w:r>
        <w:rPr>
          <w:rFonts w:hint="eastAsia" w:ascii="黑体" w:hAnsi="黑体" w:eastAsia="黑体" w:cs="黑体"/>
          <w:b/>
          <w:bCs/>
          <w:color w:val="333333"/>
          <w:kern w:val="2"/>
          <w:sz w:val="32"/>
          <w:szCs w:val="32"/>
          <w:shd w:val="clear" w:color="auto" w:fill="FFFFFF"/>
          <w:lang w:val="en-US" w:eastAsia="zh-CN" w:bidi="ar-SA"/>
        </w:rPr>
        <w:t>六、数据发布</w:t>
      </w:r>
    </w:p>
    <w:p>
      <w:pPr>
        <w:widowControl/>
        <w:shd w:val="clear" w:color="auto" w:fill="FFFFFF"/>
        <w:wordWrap w:val="0"/>
        <w:spacing w:line="360" w:lineRule="atLeast"/>
        <w:ind w:firstLine="640" w:firstLineChars="200"/>
        <w:jc w:val="left"/>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有关信息的对外发布经自治区统计局审核后，通过媒体对外免费发布，主要发布渠道为官方公众微信号“宁夏现代物流协会”。</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E7F"/>
    <w:rsid w:val="004600CD"/>
    <w:rsid w:val="00670E7F"/>
    <w:rsid w:val="00C10BCF"/>
    <w:rsid w:val="15F91D99"/>
    <w:rsid w:val="1E4E25A1"/>
    <w:rsid w:val="3FB69F13"/>
    <w:rsid w:val="652F3EB8"/>
    <w:rsid w:val="79B4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880</Words>
  <Characters>923</Characters>
  <Lines>6</Lines>
  <Paragraphs>1</Paragraphs>
  <TotalTime>1</TotalTime>
  <ScaleCrop>false</ScaleCrop>
  <LinksUpToDate>false</LinksUpToDate>
  <CharactersWithSpaces>924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2022-11-22T09:29:00Z</dcterms:created>
  <dc:creator>张 丽</dc:creator>
  <cp:lastModifiedBy>王蓉</cp:lastModifiedBy>
  <dcterms:modified xsi:type="dcterms:W3CDTF">2026-01-16T09:40:45Z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eyJoZGlkIjoiOTQzNWNjZWI5N2M4MDcwYjVmYjIxOTFmZDRlYzdiMzkiLCJ1c2VySWQiOiIzNTA0MDY2MTEifQ==</vt:lpwstr>
  </property>
  <property fmtid="{D5CDD505-2E9C-101B-9397-08002B2CF9AE}" pid="3" name="KSOProductBuildVer">
    <vt:lpwstr>2052-11.8.2.12313</vt:lpwstr>
  </property>
  <property fmtid="{D5CDD505-2E9C-101B-9397-08002B2CF9AE}" pid="4" name="ICV">
    <vt:lpwstr>4341BF4C424148B5A68B0796B39E3A8E_12</vt:lpwstr>
  </property>
</Properties>
</file>