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方正小标宋_GBK" w:eastAsia="方正小标宋_GBK" w:hAnsiTheme="minorEastAsia"/>
          <w:b/>
          <w:color w:val="auto"/>
          <w:sz w:val="44"/>
          <w:szCs w:val="44"/>
        </w:rPr>
      </w:pPr>
      <w:r>
        <w:rPr>
          <w:rFonts w:hint="eastAsia" w:ascii="方正小标宋_GBK" w:eastAsia="方正小标宋_GBK" w:hAnsiTheme="minorEastAsia"/>
          <w:b/>
          <w:color w:val="auto"/>
          <w:sz w:val="44"/>
          <w:szCs w:val="44"/>
        </w:rPr>
        <w:t>自治区统</w:t>
      </w:r>
      <w:bookmarkStart w:id="0" w:name="_GoBack"/>
      <w:bookmarkEnd w:id="0"/>
      <w:r>
        <w:rPr>
          <w:rFonts w:hint="eastAsia" w:ascii="方正小标宋_GBK" w:eastAsia="方正小标宋_GBK" w:hAnsiTheme="minorEastAsia"/>
          <w:b/>
          <w:color w:val="auto"/>
          <w:sz w:val="44"/>
          <w:szCs w:val="44"/>
        </w:rPr>
        <w:t>计局责任清单</w:t>
      </w:r>
    </w:p>
    <w:tbl>
      <w:tblPr>
        <w:tblStyle w:val="12"/>
        <w:tblW w:w="5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
        <w:gridCol w:w="1000"/>
        <w:gridCol w:w="14"/>
        <w:gridCol w:w="1019"/>
        <w:gridCol w:w="651"/>
        <w:gridCol w:w="656"/>
        <w:gridCol w:w="1451"/>
        <w:gridCol w:w="1596"/>
        <w:gridCol w:w="1306"/>
        <w:gridCol w:w="1451"/>
        <w:gridCol w:w="1596"/>
        <w:gridCol w:w="1451"/>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jc w:val="center"/>
        </w:trPr>
        <w:tc>
          <w:tcPr>
            <w:tcW w:w="151"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序号　</w:t>
            </w:r>
          </w:p>
        </w:tc>
        <w:tc>
          <w:tcPr>
            <w:tcW w:w="355" w:type="pct"/>
            <w:gridSpan w:val="2"/>
            <w:vMerge w:val="restart"/>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职权类型</w:t>
            </w:r>
          </w:p>
        </w:tc>
        <w:tc>
          <w:tcPr>
            <w:tcW w:w="356"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职权编码</w:t>
            </w:r>
          </w:p>
        </w:tc>
        <w:tc>
          <w:tcPr>
            <w:tcW w:w="457" w:type="pct"/>
            <w:gridSpan w:val="2"/>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职权名称</w:t>
            </w:r>
          </w:p>
        </w:tc>
        <w:tc>
          <w:tcPr>
            <w:tcW w:w="508"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职权依据</w:t>
            </w:r>
          </w:p>
        </w:tc>
        <w:tc>
          <w:tcPr>
            <w:tcW w:w="558"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责任事项</w:t>
            </w:r>
          </w:p>
        </w:tc>
        <w:tc>
          <w:tcPr>
            <w:tcW w:w="457"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责任事项依据</w:t>
            </w:r>
          </w:p>
        </w:tc>
        <w:tc>
          <w:tcPr>
            <w:tcW w:w="508"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追责情形</w:t>
            </w:r>
          </w:p>
        </w:tc>
        <w:tc>
          <w:tcPr>
            <w:tcW w:w="558"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追责情形依据</w:t>
            </w:r>
          </w:p>
        </w:tc>
        <w:tc>
          <w:tcPr>
            <w:tcW w:w="508"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担责方式</w:t>
            </w:r>
          </w:p>
        </w:tc>
        <w:tc>
          <w:tcPr>
            <w:tcW w:w="579" w:type="pct"/>
            <w:vMerge w:val="restar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担责方式依据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blHeader/>
          <w:jc w:val="center"/>
        </w:trPr>
        <w:tc>
          <w:tcPr>
            <w:tcW w:w="151"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center"/>
              <w:rPr>
                <w:rFonts w:hint="default" w:cs="宋体" w:asciiTheme="minorEastAsia" w:hAnsiTheme="minorEastAsia" w:eastAsiaTheme="minorEastAsia"/>
                <w:b/>
                <w:bCs/>
                <w:color w:val="auto"/>
                <w:kern w:val="0"/>
                <w:sz w:val="16"/>
                <w:szCs w:val="16"/>
              </w:rPr>
            </w:pPr>
          </w:p>
        </w:tc>
        <w:tc>
          <w:tcPr>
            <w:tcW w:w="355" w:type="pct"/>
            <w:gridSpan w:val="2"/>
            <w:vMerge w:val="continue"/>
            <w:shd w:val="clear" w:color="auto" w:fill="auto"/>
            <w:noWrap/>
            <w:vAlign w:val="center"/>
          </w:tcPr>
          <w:p>
            <w:pPr>
              <w:keepNext w:val="0"/>
              <w:keepLines w:val="0"/>
              <w:widowControl/>
              <w:suppressLineNumbers w:val="0"/>
              <w:spacing w:before="0" w:beforeAutospacing="0" w:after="0" w:afterAutospacing="0" w:line="240" w:lineRule="auto"/>
              <w:ind w:left="0" w:right="0" w:firstLine="0" w:firstLineChars="0"/>
              <w:rPr>
                <w:rFonts w:hint="default" w:cs="宋体" w:asciiTheme="minorEastAsia" w:hAnsiTheme="minorEastAsia" w:eastAsiaTheme="minorEastAsia"/>
                <w:b/>
                <w:bCs/>
                <w:color w:val="auto"/>
                <w:kern w:val="0"/>
                <w:sz w:val="16"/>
                <w:szCs w:val="16"/>
              </w:rPr>
            </w:pPr>
          </w:p>
        </w:tc>
        <w:tc>
          <w:tcPr>
            <w:tcW w:w="356" w:type="pct"/>
            <w:vMerge w:val="continue"/>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227" w:type="pc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项目</w:t>
            </w:r>
          </w:p>
        </w:tc>
        <w:tc>
          <w:tcPr>
            <w:tcW w:w="229" w:type="pct"/>
            <w:shd w:val="clear" w:color="auto" w:fill="auto"/>
            <w:vAlign w:val="center"/>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r>
              <w:rPr>
                <w:rFonts w:hint="eastAsia" w:cs="宋体" w:asciiTheme="minorEastAsia" w:hAnsiTheme="minorEastAsia" w:eastAsiaTheme="minorEastAsia"/>
                <w:b/>
                <w:bCs/>
                <w:color w:val="auto"/>
                <w:kern w:val="0"/>
                <w:sz w:val="16"/>
                <w:szCs w:val="16"/>
              </w:rPr>
              <w:t>子项</w:t>
            </w:r>
          </w:p>
        </w:tc>
        <w:tc>
          <w:tcPr>
            <w:tcW w:w="508"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558"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457"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508"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558"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508"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c>
          <w:tcPr>
            <w:tcW w:w="579" w:type="pct"/>
            <w:vMerge w:val="continue"/>
            <w:shd w:val="clear" w:color="auto" w:fill="auto"/>
          </w:tcPr>
          <w:p>
            <w:pPr>
              <w:keepNext w:val="0"/>
              <w:keepLines w:val="0"/>
              <w:widowControl/>
              <w:suppressLineNumbers w:val="0"/>
              <w:spacing w:before="0" w:beforeAutospacing="0" w:after="0" w:afterAutospacing="0" w:line="240" w:lineRule="auto"/>
              <w:ind w:left="0" w:right="0" w:firstLine="0" w:firstLineChars="0"/>
              <w:jc w:val="left"/>
              <w:rPr>
                <w:rFonts w:hint="default" w:cs="宋体" w:asciiTheme="minorEastAsia" w:hAnsiTheme="minorEastAsia" w:eastAsiaTheme="minorEastAsia"/>
                <w:b/>
                <w:bCs/>
                <w:color w:val="auto"/>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8"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行政许可</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0130001001</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涉外调查机构资格认定和涉外社会调查项目审批</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涉外调查机构资格认定</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第四十九条第二款 中华人民共和国境外的组织、个人需要在中华人民共和国境内进行统计调查活动的，应当按照国务院的规定报请审批。</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 xml:space="preserve">【行政法规】《中华人民共和国统计法实施条例》（2017年国务院令第681号） </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第五十二条第一款 中华人民共和国境外的组织、个人需要在中华人民共和国境内进行统计调查活动的，应当委托中华人民共和国境内具有涉外统计调查资格的机构进行。涉外统计调查资格应当依法报经批准。统计调查范围限于省、自治区、直辖市行政区域内的，由省级人民政府统计机构审批；统计调查范围跨省、自治区、直辖市行政区域的，由国家统计局审批。</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【部门规章】《涉外调查管理办法》（2004年国家统计局令第7号）</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第八条 国家实行涉外调查机构资格认定制度和涉外社会调查项目审批制度。</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第十条第一款 国家统计局和省、自治区、直辖市人民政府统计机构负责对申请涉外调查许可证的机构进行资格认定。</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第十四条第一款 申请涉外调查许可证的机构，调查范围跨省、自治区、直辖市行政区域的，向国家统计局提出；调查范围限于省、自治区、直辖市行政区域内的，向所在省、自治区、直辖市人民政府统计机构提出。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1.受理责任：公示依法应当公示的材料，一次性告知补正材料，依法受理或不予受理（不予受理应当告知理由）。</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2.审查责任：依法对书面申请材料进行审查，提出审查意见。</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3.决定责任：作出行政许可或者不予行政许可决定，法定告知（不予许可的应当书面告知理由）。</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4.送达责任：准予许可的制发</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送达许可证件，信息公开。</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5.事后监管责任：建立实施监督检查的运行机制和管理制度，开展定期和不定期检查，依法采取相关处置措施。</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6.其他法律法规规章文件规定应履行的责任。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1．《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2.</w:t>
            </w:r>
            <w:r>
              <w:rPr>
                <w:rFonts w:hint="eastAsia" w:cs="宋体" w:asciiTheme="minorEastAsia" w:hAnsiTheme="minorEastAsia" w:eastAsiaTheme="minorEastAsia"/>
                <w:color w:val="auto"/>
                <w:kern w:val="0"/>
                <w:sz w:val="16"/>
                <w:szCs w:val="16"/>
                <w:lang w:eastAsia="zh-CN"/>
              </w:rPr>
              <w:t>《涉外调查管理办法》</w:t>
            </w:r>
            <w:r>
              <w:rPr>
                <w:rFonts w:hint="eastAsia" w:cs="宋体" w:asciiTheme="minorEastAsia" w:hAnsiTheme="minorEastAsia" w:eastAsiaTheme="minorEastAsia"/>
                <w:color w:val="auto"/>
                <w:kern w:val="0"/>
                <w:sz w:val="16"/>
                <w:szCs w:val="16"/>
              </w:rPr>
              <w:t>第十四条　申请涉外调查许可证的机构，调查范围跨省、自治区、直辖市行政区域的，向国家统计局提出；调查范围限于省、自治区、直辖市行政区域内的，向所在省、自治区、直辖市人民政府统计机构提出。</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　　国家统计局或者省、自治区、直辖市人民政府统计机构应当自受理之日起二十日内，作出批准或者不批准的决定。逾期不能作出决定的，经本行政机关负责人批准，可以延长十日，并将延长期限的理由告知申请人。决定批准的，颁发涉外调查许可证；决定不批准的，应当书面通知申请人，并说明理由。</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3.同2</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 xml:space="preserve">4.《行政许可法》第四十四条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行政机关作出准予行政许可的决定，应当自作出决定之日起十日内向申请人颁发、送达行政许可证件。</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5-1.《行政许可法》第六十一条 行政机关应当建立健全监督制度，通过核查反映被许可人从事行政许可事项活动情况的有关材料，履行监督责任。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5-2.《统计执法监督检查办法》第十三条 县级以上人民政府统计机构和有关部门应当建立统计执法监督检查工作机制和相关制度，综合运用“双随机”抽查、专项检查、重点检查、实地核查等方式，组织开展本地区、本部门、本单位统计执法监督检查工作。</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　　按照国家有关规定，实施统计执法监督检查全过程记录制度。</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1.对符合法定条件的行政许可申请不予受理的；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2.未依法公示材料，未一次性告知需要补正的内容，未书面说明不受理理由的；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3.对不符合法定条件的申请人准予行政许可或者超越法定职权作出准予行政许可决定的；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4.对符合法定条件的申请人不予行政许可或者不在法定期限内作出准予行政许可决定的；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5.不依法履行监督职责或者监督不力，造成严重后果的；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6.工作中滥用职权、玩忽职守、徇私舞弊的；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7.办理行政许可、实施监督检查过程中，索取或者收受他人财物或者谋取其他利益的；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8.其他违反法律法规规章文件规定的行为。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1．《行政许可法》第七十二条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（一）对符合法定条件的行政许可申请不予受理的；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（二）不在办公场所公示依法应当公示的材料的；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（三）在受理、审查、决定行政许可过程中，未向申请人、利害关系人履行法定告知义务的；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（四）申请人提交的申请材料不齐全、不符合法定形式，不一次告知申请人必须补正的全部内容的；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（五）违法披露申请人提交的商业秘密、未披露信息或者保密商务信息的；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（六）以转让技术作为取得行政许可的条件，或者在实施行政许可的过程中直接或者间接地要求转让技术的；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（七）未依法说明不受理行政许可申请或者不予行政许可的理由的；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（八）依法应当举行听证而不举行听证的。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2．同1。</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3.《行政许可法》第七十四条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4．同２</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6.《涉外调查管理办法》第三十四条　统计机构工作人员在涉外调查管理中玩忽职守、滥用职权的，依法给予行政处分；构成犯罪的，依法追究刑事责任。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7.《行政许可法》第七十三条 行政机关工作人员办理行政许可、实施监督检查，索取或者收受他人财物或者谋取其他利益，构成犯罪的，依法追究刑事责任；尚不构成犯罪的，依法给予行政处分。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对不履行或不正确履行行政职责的行政机关及相关工作人员,由上级行政机关或本级人民政府、监察机关、任免机关、政府法制机构等，依据过错与责任相适应原则，按照各自权限，以下列方式追究其责任：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3.给予行政机关责令限期整改、通报批评、取消评比先进资格等责任追究；</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r>
              <w:rPr>
                <w:rFonts w:hint="eastAsia" w:cs="宋体" w:asciiTheme="minorEastAsia" w:hAnsiTheme="minorEastAsia" w:eastAsiaTheme="minorEastAsia"/>
                <w:color w:val="auto"/>
                <w:kern w:val="0"/>
                <w:sz w:val="16"/>
                <w:szCs w:val="16"/>
              </w:rPr>
              <w:br w:type="textWrapping"/>
            </w: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8"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行政许可</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0130001002</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涉外调查机构资格认定和涉外社会调查项目审批</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涉外社会调查项目审批</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第四十九条第二款 中华人民共和国境外的组织、个人需要在中华人民共和国境内进行统计调查活动的，应当按照国务院的规定报请审批。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【行政法规】《中华人民共和国统计法实施条例》（2017年国务院令第681号）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第五十二条第二款 涉外社会调查项目应当依法报经批准。统计调查范围限于省、自治区、直辖市行政区域内的，由省级人民政府统计机构审批；统计调查范围跨省、自治区、直辖市行政区域的，由国家统计局审批。</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【部门规章】《涉外调查管理办法》（2004年国家统计局令第7号）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第二十三条</w:t>
            </w:r>
            <w:r>
              <w:rPr>
                <w:rFonts w:hint="eastAsia" w:cs="宋体" w:asciiTheme="minorEastAsia" w:hAnsiTheme="minorEastAsia" w:eastAsiaTheme="minorEastAsia"/>
                <w:color w:val="auto"/>
                <w:kern w:val="0"/>
                <w:sz w:val="16"/>
                <w:szCs w:val="16"/>
                <w:lang w:eastAsia="zh-CN"/>
              </w:rPr>
              <w:t>第一款</w:t>
            </w:r>
            <w:r>
              <w:rPr>
                <w:rFonts w:hint="eastAsia" w:cs="宋体" w:asciiTheme="minorEastAsia" w:hAnsiTheme="minorEastAsia" w:eastAsiaTheme="minorEastAsia"/>
                <w:color w:val="auto"/>
                <w:kern w:val="0"/>
                <w:sz w:val="16"/>
                <w:szCs w:val="16"/>
              </w:rPr>
              <w:t>　涉外调查机构申请批准涉外社会调查项目，调查范围跨省、自治区、直辖市行政区域的，向国家统计局提出；调查范围限于省、自治区、直辖市行政区域内的，向所在省、自治区、直辖市人民政府统计机构提出。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1.受理责任：公示依法应当公示的材料，一次性告知补正材料，依法受理或不予受理（不予受理应当告知理由）。</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2.审查责任：依法对书面申请材料进行审查，提出审查意见。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3.决定责任：作出行政许可或者不予行政许可决定，法定告知（不予许可的应当书面告知理由）。</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4.送达责任：准予许可的制发送达许可证件，信息公开。</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5.事后监管责任：建立实施监督检查的运行机制和管理制度，开展定期和不定期检查，依法采取相关处置措施。</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2.</w:t>
            </w:r>
            <w:r>
              <w:rPr>
                <w:rFonts w:hint="eastAsia" w:cs="宋体" w:asciiTheme="minorEastAsia" w:hAnsiTheme="minorEastAsia" w:eastAsiaTheme="minorEastAsia"/>
                <w:color w:val="auto"/>
                <w:kern w:val="0"/>
                <w:sz w:val="16"/>
                <w:szCs w:val="16"/>
                <w:lang w:eastAsia="zh-CN"/>
              </w:rPr>
              <w:t>《涉外调查管理</w:t>
            </w:r>
            <w:r>
              <w:rPr>
                <w:rFonts w:hint="eastAsia" w:cs="宋体" w:asciiTheme="minorEastAsia" w:hAnsiTheme="minorEastAsia" w:eastAsiaTheme="minorEastAsia"/>
                <w:color w:val="auto"/>
                <w:kern w:val="0"/>
                <w:sz w:val="16"/>
                <w:szCs w:val="16"/>
                <w:lang w:val="en-US" w:eastAsia="zh-CN"/>
              </w:rPr>
              <w:t>办法</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第二十三条　涉外调查机构申请批准涉外社会调查项目，调查范围跨省、自治区、直辖市行政区域的，向国家统计局提出；调查范围限于省、自治区、直辖市行政区域内的，向所在省、自治区、直辖市人民政府统计机构提出。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　　国家统计局或者省、自治区、直辖市人民政府统计机构应当自受理之日起二十日内，作出批准或者不批准的决定。逾期不能作出决定的，经本行政机关负责人批准，可以延长十日，并将延长期限的理由告知申请人。决定批准的，发给涉外社会调查项目批准文件；决定不批准的，应当书面通知申请人，并说明理由。</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3.同2</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4.《行政许可法》第四十四条  行政机关作出准予行政许可的决定，应当自作出决定之日起十日内向申请人颁发、送达行政许可证件。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5-1.《行政许可法》第六十一条 行政机关应当建立健全监督制度，通过核查反映被许可人从事行政许可事项活动情况的有关材料，履行监督责任。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5-2《统计执法监督检查办法》第十三条 县级以上人民政府统计机构和有关部门应当建立统计执法监督检查工作机制和相关制度，综合运用“双随机”抽查、专项检查、重点检查、实地核查等方式，组织开展本地区、本部门、本单位统计执法监督检查工作。</w:t>
            </w: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按照国家有关规定，实施统计执法监督检查全过程记录制度。</w:t>
            </w: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20"/>
                <w:szCs w:val="20"/>
              </w:rPr>
            </w:pP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20"/>
                <w:szCs w:val="20"/>
              </w:rPr>
            </w:pP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20"/>
                <w:szCs w:val="20"/>
              </w:rPr>
            </w:pP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20"/>
                <w:szCs w:val="20"/>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1.对符合法定条件的行政许可申请不予受理的；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2.未依法公示材料，未一次性告知需要补正的内容，未书面说明不受理理由的；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3.对不符合法定条件的申请人准予行政许可或者超越法定职权作出准予行政许可决定的；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4.对符合法定条件的申请人不予行政许可或者不在法定期限内作出准予行政许可决定的；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5.不依法履行监督职责或者监督不力，造成严重后果的；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6.工作中滥用职权、玩忽职守、徇私舞弊的；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7.办理行政许可、实施监督检查过程中，索取或者收受他人财物或者谋取其他利益的；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default"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rPr>
              <w:t>.其他违反法律法规规章文件规定的行为。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1．《行政许可法》第七十二条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五）违法披露申请人提交的商业秘密、未披露信息或者保密商务信息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（六）以转让技术作为取得行政许可的条件，或者在实施行政许可的过程中直接或者间接地要求转让技术的；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（七）未依法说明不受理行政许可申请或者不予行政许可的理由的；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（八）依法应当举行听证而不举行听证的。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3.《行政许可法》第七十四条 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二）对符合法定条件的申请人不予行政许可或者不在法定期限内作出准予行政许可决定的；（三）依法应当根据招标、拍卖结果或者考试成绩择优作出准予行政许可决定，未经招标、拍卖或者考试，或者不根据招标、拍卖结果或者考试成绩择优作出准予行政许可决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4．同２</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5.《行政许可法》第七十七条 行政机关不依法履行监督职责或者监督不力，造成严重后果的，由其上级行政机关或者监察机关责令改正，对直接负责的主管人员和其他直接责任人员依法给予行政处分；构成犯罪的，依法追究刑事责任。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6.《涉外调查管理办法》第三十四条　统计机构工作人员在涉外调查管理中玩忽职守、滥用职权的，依法给予行政处分；构成犯罪的，依法追究刑事责任。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20"/>
                <w:szCs w:val="20"/>
              </w:rPr>
            </w:pPr>
            <w:r>
              <w:rPr>
                <w:rFonts w:hint="eastAsia" w:cs="宋体" w:asciiTheme="minorEastAsia" w:hAnsiTheme="minorEastAsia" w:eastAsiaTheme="minorEastAsia"/>
                <w:color w:val="auto"/>
                <w:kern w:val="0"/>
                <w:sz w:val="16"/>
                <w:szCs w:val="16"/>
              </w:rPr>
              <w:t>7.《行政许可法》第七十三条 行政机关工作人员办理行政许可、实施监督检查，索取或者收受他人财物或者谋取其他利益，构成犯罪的，依法追究刑事责任；尚不构成犯罪的，依法给予行政处分。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对统计调查对象拒绝提供统计资料或者经催报后仍未按时提供统计资料的处罚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（一）拒绝提供统计资料或者经催报后仍未按时提供统计资料；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企业事业单位或者其他组织有前款所列行为之一的，可以并处五万元以下的罚款；情节严重的，并处五万元以上二十万元以下的罚款。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个体工商户有本条第一款所列行为之一的，由县级以上人民政府统计机构责令改正，给予警告，可以并处一万元以下的罚款。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1.立案责任：发现涉嫌作为统计调查对象的国家机关、企业事业单位或者其他组织有拒绝提供统计资料或者经催报后仍未按时提供统计资料的行为，予以审查，决定是否立案。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240" w:firstLineChars="15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0230002000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对统计调查对象提供不真实或者不完整的统计资料的处罚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（二）提供不真实或者不完整的统计资料的；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企业事业单位或者其他组织有前款所列行为之一的，可以并处五万元以下的罚款；情节严重的，并处五万元以上二十万元以下的罚款。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个体工商户有本条第一款所列行为之一的，由县级以上人民政府统计机构责令改正，给予警告，可以并处一万元以下的罚款。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1.立案责任：发现统计调查对象拒绝答复或者不如实答复统计检查查询书的行为，予以审查，决定是否立案。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320" w:firstLineChars="20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w:t>
            </w:r>
            <w:r>
              <w:rPr>
                <w:rFonts w:hint="eastAsia" w:cs="宋体" w:asciiTheme="minorEastAsia" w:hAnsiTheme="minorEastAsia" w:eastAsiaTheme="minorEastAsia"/>
                <w:color w:val="auto"/>
                <w:kern w:val="0"/>
                <w:sz w:val="16"/>
                <w:szCs w:val="16"/>
                <w:lang w:eastAsia="zh-CN"/>
              </w:rPr>
              <w:t>。</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0230003000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对统计调查对象拒绝答复或者不如实答复统计检查查询书的处罚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（三）拒绝答复或者不如实答复统计检查查询书的；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企业事业单位或者其他组织有前款所列行为之一的，可以并处五万元以下的罚款；情节严重的，并处五万元以上二十万元以下的罚款。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个体工商户有本条第一款所列行为之一的，由县级以上人民政府统计机构责令改正，给予警告，可以并处一万元以下的罚款。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1.立案责任：发现统计调查对象转移、隐匿、篡改、毁弃或者拒绝提供原始记录和凭证、统计台账、统计调查表及其他相关证明和资料的行为，予以审查，决定是否立案。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line="180" w:lineRule="exact"/>
              <w:ind w:left="0" w:right="0" w:firstLine="320" w:firstLineChars="20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0230004000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对统计调查对象拒绝、阻碍统计调查、统计检查的处罚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（四）拒绝、阻碍统计调查、统计检查的；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企业事业单位或者其他组织有前款所列行为之一的，可以并处五万元以下的罚款；情节严重的，并处五万元以上二十万元以下的罚款。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个体工商户有本条第一款所列行为之一的，由县级以上人民政府统计机构责令改正，给予警告，可以并处一万元以下的罚款。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1.立案责任：发现统计调查对象拒绝、阻碍统计调查、统计检查的行为，予以审查，决定是否立案。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firstLine="32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0230005000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对统计调查对象转移、隐匿、篡改、毁弃或者拒绝提供原始记录和凭证、统计台账、统计调查表及其他相关证明和资料的处罚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【法律】《中华人民共和国统计法》（2009年修订）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作为统计调查对象的国家机关、企业事业单位或者其他组织有下列行为之一的，由县级以上人民政府统计机构责令改正，给予警告，可以予以通报；其直接负责的主管人员和其他直接责任人员属于国家工作人员的，由任免机关或者监察机关依法给予处分：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（五）转移、隐匿、篡改、毁弃或者拒绝提供原始记录和凭证、统计台账、统计调查表及其他相关证明和资料的。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企业事业单位或者其他组织有前款所列行为之一的，可以并处五万元以下的罚款；情节严重的，并处五万元以上二十万元以下的罚款。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个体工商户有本条第一款所列行为之一的，由县级以上人民政府统计机构责令改正，给予警告，可以并处一万元以下的罚款。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1.立案责任：发现统计调查对象转移、隐匿、篡改、毁弃或者拒绝提供原始记录和凭证、统计台账、统计调查表及其他相关证明和资料行为，予以审查，决定是否立案。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0230006000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对统计调查对象迟报统计资料、未按照国家有关规定设置原始记录、统计台账的处罚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第四十二条 作为统计调查对象的国家机关、企业事业单位或者其他组织迟报统计资料，或者未按照国家有关规定设置原始记录、统计台账的，由县级以上人民政府统计机构责令改正，给予警告。</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企业事业单位或者其他组织有前款所列行为之一的，可以并处一万元以下的罚款。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个体工商户迟报统计资料的，由县级以上人民政府统计机构责令改正，给予警告，可以并处一千元以下的罚款。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1.立案责任：发现统计调查对象迟报统计资料、未按照国家有关规定设置原始记录、统计台账的行为，予以审查，决定是否立案。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0230007000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对企事业单位或其他组织或者个体经营户拒绝或者妨碍接受经济普查机构、经济普查人员依法进行的调查的处罚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【行政法规】《全国经济普查条例》（2018年修订）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（一）拒绝或者妨碍接受经济普查机构、经济普查人员依法进行的调查的；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企业事业单位或者其他组织有前款所列行为之一的，可以并处5万元以下的罚款；情节严重的，并处5万元以上20万元以下的罚款。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个体经营户有本条第一款所列行为之一的，由县级以上人民政府统计机构责令改正，给予警告，可以并处1万元以下的罚款。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1.立案责任：发现企事业单位或其他组织或者个体经营户拒绝或者妨碍接受经济普查机构、经济普查人员依法进行的调查的行为，予以审查，决定是否立案。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firstLine="32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0230008000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对企事业单位其他组织或者个体经营户提供虚假或者不完整的经济普查资料的处罚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【行政法规】《全国经济普查条例》（2018年修订）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（二）提供虚假或者不完整的经济普查资料的；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企业事业单位或者其他组织有前款所列行为之一的，可以并处5万元以下的罚款；情节严重的，并处5万元以上20万元以下的罚款。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个体经营户有本条第一款所列行为之一的，由县级以上人民政府统计机构责令改正，给予警告，可以并处1万元以下的罚款。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1.立案责任：发现企事业单位其他组织或者个体经营户提供虚假或者不完整的经济普查资料的行为，予以审查，决定是否立案。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《宁夏回族自治区行政程序规定》第一百一十五条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 xml:space="preserve">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0230009000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对企事业单位或其他组织或者个体经营户未按时提供与经济普查有关的资料，经催报后仍未提供的处罚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【行政法规】《全国经济普查条例》（2018年修订）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第三十六条 经济普查对象（个体经营户除外）有下列行为之一的，由县级以上人民政府统计机构责令改正，给予警告，可以予以通报；其直接负责的主管人员和其他直接责任人员属于国家工作人员的，依法给予处分：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（三）未按时提供与经济普查有关的资料，经催报后仍未提供的。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企业事业单位或者其他组织有前款所列行为之一的，可以并处5万元以下的罚款；情节严重的，并处5万元以上20万元以下的罚款。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个体经营户有本条第一款所列行为之一的，由县级以上人民政府统计机构责令改正，给予警告，可以并处1万元以下的罚款。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1.立案责任：发现企事业单位或其他组织或者个体经营户未按时提供与经济普查有关的资料，经催报后仍未提供的行为，予以审查，决定是否立案。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  执法人员利用职务上的便利，索取或者收受他人财物、将收缴罚款据为己有，构成犯罪的，依法追究刑事责任；情节轻微不构成犯罪的，依法给予处分。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 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0230010000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对农业生产经营单位、农业生产经营户拒绝或者妨碍普查办公室、普查人员依法进行调查的处罚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【行政法规】《全国农业普查条例》（2006年国务院令第473号）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（一）拒绝或者妨碍普查办公室、普查人员依法进行调查的；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1.立案责任：发现农业生产经营单位、农业生产经营户拒绝或者妨碍普查办公室、普查人员依法进行调查的行为，予以审查，决定是否立案。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  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240" w:firstLineChars="15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13</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对农业生产经营单位、农业生产经营户提供虚假或者不完整的农业普查资料的处罚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【行政法规】《全国农业普查条例》（2006年国务院令第473号）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（二）提供虚假或者不完整的农业普查资料的；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1.立案责任：发现农业生产经营单位、农业生产经营户提供虚假或者不完整的农业普查资料的行为，予以审查，决定是否立案。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14</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0230012000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对农业生产经营单位、农业生产经营户未按时提供与农业普查有关的资料，经催报后仍未提供的处罚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【行政法规】《全国农业普查条例》（2006年国务院令第473号）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（三）未按时提供与农业普查有关的资料，经催报后仍未提供的；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1.立案责任：发现农业生产经营单位、农业生产经营户未按时提供与农业普查有关的资料，经催报后仍未提供的行为，予以审查，决定是否立案。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r>
              <w:rPr>
                <w:rFonts w:hint="eastAsia" w:cs="宋体" w:asciiTheme="minorEastAsia" w:hAnsiTheme="minorEastAsia" w:eastAsiaTheme="minorEastAsia"/>
                <w:color w:val="auto"/>
                <w:kern w:val="0"/>
                <w:sz w:val="16"/>
                <w:szCs w:val="16"/>
                <w:lang w:eastAsia="zh-CN"/>
              </w:rPr>
              <w:t>。</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15</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0230013000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对农业生产经营单位、农业生产经营户拒绝、推诿和阻挠依法进行的农业普查执法检查的处罚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【行政法规】《全国农业普查条例》（2006年国务院令第473号）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（四）拒绝、推诿和阻挠依法进行的农业普查执法检查的；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1.立案责任：发现农业生产经营单位、农业生产经营户拒绝、推诿和阻挠依法进行的农业普查执法检查的行为，予以审查，决定是否立案。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16</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0230014000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对农业生产经营单位、农业生产经营户在接受农业普查执法检查时，转移、隐匿、篡改、毁弃原始记录、统计台账、普查表、会计资料及其他相关资料的处罚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【行政法规】《全国农业普查条例》（2006年国务院令第473号）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农业普查对象有下列违法行为之一的，由县级以上人民政府统计机构或者国家统计局派出的调查队责令改正，给予通报批评；情节严重的，对负有直接责任的主管人员和其他直接责任人员依法给予行政处分或者纪律处分： （五）在接受农业普查执法检查时，转移、隐匿、篡改、毁弃原始记录、统计台账、普查表、会计资料及其他相关资料的。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农业生产经营单位有前款所列违法行为之一的，由县级以上人民政府统计机构或者国家统计局派出的调查队予以警告，并可以处5万元以下罚款；农业生产经营户有前款所列违法行为之一的，由县级以上人民政府统计机构或者国家统计局派出的调查队予以警告，并可以处1万元以下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1.立案责任：发现农业生产经营单位、农业生产经营户在接受农业普查执法检查时，转移、隐匿、篡改、毁弃原始记录、统计台账、普查表、会计资料及其他相关资料的行为，予以审查，决定是否立案。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17</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0230015000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对单位和个体经营户迟报、虚报、瞒报或者拒报污染源普查数据的处罚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【行政法规】《全国污染源普查条例》（2007年国务院令第508号）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（一）迟报、虚报、瞒报或者拒报污染源普查数据的；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单位有本条第一款所列行为之一的，由县级以上人民政府统计机构予以警告，可以处5万元以下的罚款。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个体经营户有本条第一款所列行为之一的，由县级以上人民政府统计机构予以警告，可以处1万元以下的罚款。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1.立案责任：发现单位和个体经营户迟报、虚报、瞒报或者拒报污染源普查数据的行为，予以审查，决定是否立案。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r>
              <w:rPr>
                <w:rFonts w:hint="eastAsia" w:cs="宋体" w:asciiTheme="minorEastAsia" w:hAnsiTheme="minorEastAsia" w:eastAsiaTheme="minorEastAsia"/>
                <w:color w:val="auto"/>
                <w:kern w:val="0"/>
                <w:sz w:val="16"/>
                <w:szCs w:val="16"/>
                <w:lang w:eastAsia="zh-CN"/>
              </w:rPr>
              <w:t>。</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18</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230016000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对单位和个体经营户推诿、拒绝或者阻挠普查人员依法进行调查的处罚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【行政法规】《全国污染源普查条例》（2007年国务院令第508号）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（二）推诿、拒绝或者阻挠普查人员依法进行调查的；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单位有本条第一款所列行为之一的，由县级以上人民政府统计机构予以警告，可以处5万元以下的罚款。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个体经营户有本条第一款所列行为之一的，由县级以上人民政府统计机构予以警告，可以处1万元以下的罚款。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1.立案责任：发现单位和个体经营户推诿、拒绝或者阻挠普查人员依法进行调查的行为，予以审查，决定是否立案。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19</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0230017000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对单位和个体经营户转移、隐匿、篡改、毁弃原材料消耗记录、生产记录、污染物治理设施运行记录、污染物排放监测记录以及其他与污染物产生和排放有关的原始资料的处罚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【行政法规】《全国污染源普查条例》（2007年国务院令第508号）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（三）转移、隐匿、篡改、毁弃原材料消耗记录、生产记录、污染物治理设施运行记录、污染物排放监测记录以及其他与污染物产生和排放有关的原始资料的。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单位有本条第一款所列行为之一的，由县级以上人民政府统计机构予以警告，可以处5万元以下的罚款。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个体经营户有本条第一款所列行为之一的，由县级以上人民政府统计机构予以警告，可以处1万元以下的罚款。</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单位和个体经营户转移、隐匿、篡改、毁弃原材料消耗记录、生产记录、污染物治理设施运行记录、污染物排放监测记录以及其他与污染物产生和排放有关的原始资料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firstLine="32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20</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0230018000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对利用统计调查损害社会公共利益或者进行欺诈活动的处罚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【地方性法规】《宁夏回族自治区统计管理条例》（2017年）</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第二十三条 利用统计调查损害社会公共利益或者进行欺诈活动的，由县级以上人民政府统计部门责令改正，没收违法所得，处以5000元以上50000元以下罚款；构成犯罪的，依法追究刑事责任。</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1.立案责任：发现利用统计调查损害社会公共利益或者进行欺诈活动的行为，予以审查，决定是否立案。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21</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0230019000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对伪造、变造或者冒用统计调查证的处罚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【部门规章】《统计调查证管理办法》（2017国家统计局令第19号）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第十二条 任何单位违反本办法规定，伪造、变造或者冒用统计调查证的，由县级以上人民政府统计机构责令改正，予以警告，予以通报。对非经营活动中发生上述违法行为的，还可以处1000元以下的罚款。对经营活动中发生上述违法行为，有违法所得的，可以处违法所得1倍以上3倍以下但不超过3万元的罚款；没有违法所得，还可以处1万元以下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对有前款违法行为的有关责任人员，由县级以上人民政府统计机构责令改正予以警告，可以予以通报，可以处1000元以下的罚款；构成违反治安管理行为的，依法予以治安管理处罚；构成犯罪的，依法追究刑事责任。</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1.立案责任：发现伪造、变造或者冒用统计调查证的行为，予以审查，决定是否立案。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22</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0230020000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对违法进行涉外调查的统计违法行为的处罚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【部门规章】《涉外调查管理办法》（2004年国家统计局令第7号）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第三十一条 违反本办法规定，有下列情形之一的，由国家统计局或者省级人民政府统计机构责令改正。其调查活动属于非经营性的，可处以五百元至一千元的罚款；其调查活动属于经营性，有违法所得的，可处以相当于违法所得一至三倍但是不超过三万元的罚款；没有违法所得的，可处以三千元至一万元的罚款。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（一）未通过取得涉外调查许可证的机构进行涉外调查的；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（二）未取得涉外调查许可证进行涉外调查的；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（三）伪造、冒用、转让涉外调查许可证、涉外社会调查项目批准文件的；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（四）使用已超过有效期的涉外调查许可证从事涉外调查的；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（五）超出许可范围从事涉外调查的。</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1.立案责任：发现伪造、变造或者冒用统计调查证的行为，予以审查，决定是否立案。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23</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0230021000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对涉外统计机构和有关人员违法行为的处罚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【部门规章】《涉外调查管理办法》（2004年国家统计局令第7号）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第三十二条 涉外调查机构和有关人员违反本办法规定，有下列情形之一的，由国家统计局或者省级人民政府统计机构责令改正。其调查活动属于非经营性的，可处以五百元至一千元的罚款。其调查活动属于经营性，有违法所得的，可处以相当于违法所得一至三倍但是不超过三万元的罚款；没有违法所得的，可处以三千元至一万元的罚款。构成犯罪的，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（一）未经批准，擅自进行涉外社会调查的；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（二）未经批准，擅自变更已批准的涉外社会调查项目的；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（三）泄露调查对象商业秘密和个人隐私的；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（四）强迫调查对象接受调查的；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（五）冒用其他机构名义进行涉外调查的；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（六）未建立涉外调查业务档案的；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（七）拒绝接受管理机关检查的；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（八）在接受管理机关检查时，拒绝提供情况和有关材料、提供虚假情况和材料的；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（九）未标明、未向调查对象说明第二十六条规定事项的。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第二十六条　经批准进行的涉外社会调查，应当在调查问卷、表格或者访谈、观察提纲首页显著位置标明并向调查对象说明下列事项：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涉外调查许可证编号；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调查项目的批准机关、批准文号；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本调查为调查对象自愿接受的调查。</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1.立案责任：发现涉外统计机构和有关人员违法的行为，予以审查，决定是否立案。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  当事人同意并签订确认书的，行政机关可以采用传真、电子邮件等方式，将行政处罚决定书等送达当事人。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  执法人员利用职务上的便利，索取或者收受他人财物、将收缴罚款据为己有，构成犯罪的，依法追究刑事责任；情节轻微不构成犯罪的，依法给予处分。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24</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行政处罚</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0230022000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“对涉外调查机构违反许可证管理的行为”的处罚</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【部门规章】《涉外调查管理办法》（2004年国家统计局令第7号）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第三十三条 涉外调查机构违反本办法规定，有下列情形之一的，由国家统计局或者省级人民政府统计机构责令改正，给予警告，可处以五百元至一千元的罚款：</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（一）涉外调查机构的名称、登记类型、法定代表人或者主要负责人、住所等发生变更，未依法申请变更涉外调查许可证的；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b/>
                <w:color w:val="auto"/>
                <w:kern w:val="0"/>
                <w:sz w:val="16"/>
                <w:szCs w:val="16"/>
              </w:rPr>
            </w:pPr>
            <w:r>
              <w:rPr>
                <w:rFonts w:hint="eastAsia" w:cs="宋体" w:asciiTheme="minorEastAsia" w:hAnsiTheme="minorEastAsia" w:eastAsiaTheme="minorEastAsia"/>
                <w:color w:val="auto"/>
                <w:kern w:val="0"/>
                <w:sz w:val="16"/>
                <w:szCs w:val="16"/>
              </w:rPr>
              <w:t xml:space="preserve">    （二）终止涉外调查业务，或者涉外调查许可证有效期届满后，未向原颁发机关缴回涉外调查许可证的。</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1.立案责任：发现对涉外调查机构违反许可证管理的行为，予以审查，决定是否立案。</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2.调查责任：对立案的案件，指定专人负责，及时组织调查取证，与当事人有直接利害关系的应当回避。执法人员不得少于两人，调查时应出示执法证件，允许当事人辩解陈述。执法人员应保守有关秘密。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3.审查责任：对案件违法事实、证据、调查取证程序、法律适用、处罚种类和幅度、当事人陈述和申辩理由等方面进行审查，提出处理意见。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4.告知责任：作出行政处罚决定前，应制作行政处罚告知书送达当事人，告知违法事实及其享有的陈述、申辩等权利。符合听证规定的，制作并送达行政处罚听证告知书。</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5.决定责任：依法予以处罚的，制作行政处罚决定书，载明行政处罚告知、当事人陈述申辩或者听证情况等内容。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6.送达责任：行政处罚决定书按法律规定的方式送达当事人。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7.执行责任：监督当事人履行已经生效的行政处罚决定，当事人拒不履行的，依法申请人民法院强制执行。</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1-1.</w:t>
            </w:r>
            <w:r>
              <w:rPr>
                <w:rFonts w:hint="eastAsia" w:cs="宋体" w:asciiTheme="minorEastAsia" w:hAnsiTheme="minorEastAsia" w:eastAsiaTheme="minorEastAsia"/>
                <w:color w:val="auto"/>
                <w:kern w:val="0"/>
                <w:sz w:val="16"/>
                <w:szCs w:val="16"/>
              </w:rPr>
              <w:t>《统计执法监督检查办法》第</w:t>
            </w:r>
            <w:r>
              <w:rPr>
                <w:rFonts w:hint="eastAsia" w:cs="宋体" w:asciiTheme="minorEastAsia" w:hAnsiTheme="minorEastAsia" w:eastAsiaTheme="minorEastAsia"/>
                <w:color w:val="auto"/>
                <w:kern w:val="0"/>
                <w:sz w:val="16"/>
                <w:szCs w:val="16"/>
                <w:lang w:eastAsia="zh-CN"/>
              </w:rPr>
              <w:t>二十七</w:t>
            </w:r>
            <w:r>
              <w:rPr>
                <w:rFonts w:hint="eastAsia" w:cs="宋体" w:asciiTheme="minorEastAsia" w:hAnsiTheme="minorEastAsia" w:eastAsiaTheme="minorEastAsia"/>
                <w:color w:val="auto"/>
                <w:kern w:val="0"/>
                <w:sz w:val="16"/>
                <w:szCs w:val="16"/>
              </w:rPr>
              <w:t>条 对下列统计违法行为，县级以上人民政府统计机构应当依法立案：（一）各地方、各部门、各单位及其负责人违反统计法律法规规章的；（二）县级以上人民政府统计机构及其工作人员违反统计法律法规规章的；（三）国家机关、企业事业单位和其他组织以及个体工商户等调查对象违反统计法律法规规章的；　（四）违反国家统计规则、政令的；（五）违反涉外统计调查和民间统计调查有关法律法规规章的；（六）其他按照法律法规规章规定应当立案的。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1-2.《统计执法监督检查办法》第二十八条　立案查处的统计违法行为，应当同时具备下列条件：（一）有明确的行为人；（二）有违反本办法第二十七条所列行为，依法应当追究法律责任；（三）属于人民政府统计机构职责权限和管辖范围。</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统计执法监督检查机构或者执法检查人员按照前款规定的条件，对拟立案的有关材料进行初步审查并提出初步处理意见，报送所属人民政府统计机构负责人批准后，予以立案查处。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2-1.《行政处罚法》第四十二条 行政处罚应当由具有行政执法资格的执法人员实施。执法人员不得少于两人，法律另有规定的除外。</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2-2.</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第五十条 行政机关及其工作人员对实施行政处罚过程中知悉的国家秘密、商业秘密或者个人隐私，应当依法予以保密。</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3-2.《行政处罚法》</w:t>
            </w:r>
            <w:r>
              <w:rPr>
                <w:rFonts w:hint="eastAsia" w:cs="宋体" w:asciiTheme="minorEastAsia" w:hAnsiTheme="minorEastAsia" w:eastAsiaTheme="minorEastAsia"/>
                <w:color w:val="auto"/>
                <w:kern w:val="0"/>
                <w:sz w:val="16"/>
                <w:szCs w:val="16"/>
              </w:rPr>
              <w:t>第五十八条 有下列情形之一，在行政机关负责人作出行政处罚的决定之前，应当由从事行政处罚决定法制审核的人员进行法制审核；未经法制审核或者审核未通过的，不得作出决定</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（一）涉及重大公共利益的；（二）直接关系当事人或者第三人重大权益，经过听证程序的；（三）案件情况疑难复杂、涉及多个法律关系的；（四）法律、法规规定应当进行法制审核的其他情形。</w:t>
            </w:r>
          </w:p>
          <w:p>
            <w:pPr>
              <w:keepNext w:val="0"/>
              <w:keepLines w:val="0"/>
              <w:widowControl/>
              <w:suppressLineNumbers w:val="0"/>
              <w:spacing w:before="0" w:beforeAutospacing="0" w:after="0" w:afterAutospacing="0" w:line="180" w:lineRule="exact"/>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lang w:val="en-US" w:eastAsia="zh-CN"/>
              </w:rPr>
              <w:t>4.</w:t>
            </w:r>
            <w:r>
              <w:rPr>
                <w:rFonts w:hint="eastAsia" w:cs="宋体" w:asciiTheme="minorEastAsia" w:hAnsiTheme="minorEastAsia" w:eastAsiaTheme="minorEastAsia"/>
                <w:color w:val="auto"/>
                <w:kern w:val="0"/>
                <w:sz w:val="16"/>
                <w:szCs w:val="16"/>
              </w:rPr>
              <w:t>《行政处罚法》第四十四条 行政机关在作出行政处罚决定之前，应当告知当事人拟作出的行政处罚内容及事实、理由、依据，并告知当事人依法享有的陈述、申辩、要求听证等权利。</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5.《行政处罚法》第五十九条 行政机关依照本法第五十七条的规定给予行政处罚，应当制作行政处罚决定书。行政处罚决定书应当载明下列事项：…”</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6.《行政处罚法》第六十一条 行政处罚决定书应当在宣告后当场交付当事人；当事人不在场的，行政机关应当在七日内依照《中华人民共和国民事诉讼法》的有关规定，将行政处罚决定书送达当事人。</w:t>
            </w:r>
          </w:p>
          <w:p>
            <w:pPr>
              <w:keepNext w:val="0"/>
              <w:keepLines w:val="0"/>
              <w:widowControl/>
              <w:suppressLineNumbers w:val="0"/>
              <w:spacing w:before="0" w:beforeAutospacing="0" w:after="0" w:afterAutospacing="0" w:line="180" w:lineRule="exact"/>
              <w:ind w:left="0" w:right="0" w:firstLine="320"/>
              <w:rPr>
                <w:rFonts w:hint="default"/>
                <w:color w:val="auto"/>
                <w:sz w:val="20"/>
                <w:szCs w:val="20"/>
              </w:rPr>
            </w:pPr>
            <w:r>
              <w:rPr>
                <w:rFonts w:hint="eastAsia" w:cs="宋体" w:asciiTheme="minorEastAsia" w:hAnsiTheme="minorEastAsia" w:eastAsiaTheme="minorEastAsia"/>
                <w:color w:val="auto"/>
                <w:kern w:val="0"/>
                <w:sz w:val="16"/>
                <w:szCs w:val="16"/>
              </w:rPr>
              <w:t>当事人同意并签订确认书的，行政机关可以采用传真、电子邮件等方式，将行政处罚决定书等送达当事人。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行政处罚法》第七十二条 当事人逾期不履行行政处罚决定的，作出行政处罚决定的行政机关可以采取下列措施：（一）到期不缴纳罚款的，每日按罚款数额的百分之三加处罚款，加处罚款的数额不得超出罚款的数额；</w:t>
            </w:r>
            <w:r>
              <w:rPr>
                <w:rFonts w:hint="eastAsia" w:cs="宋体" w:asciiTheme="minorEastAsia" w:hAnsiTheme="minorEastAsia" w:eastAsiaTheme="minorEastAsia"/>
                <w:color w:val="auto"/>
                <w:kern w:val="0"/>
                <w:sz w:val="16"/>
                <w:szCs w:val="16"/>
                <w:lang w:eastAsia="zh-CN"/>
              </w:rPr>
              <w:t>……</w:t>
            </w:r>
            <w:r>
              <w:rPr>
                <w:rFonts w:hint="eastAsia" w:cs="宋体" w:asciiTheme="minorEastAsia" w:hAnsiTheme="minorEastAsia" w:eastAsiaTheme="minorEastAsia"/>
                <w:color w:val="auto"/>
                <w:kern w:val="0"/>
                <w:sz w:val="16"/>
                <w:szCs w:val="16"/>
              </w:rPr>
              <w:t>（四）依照《中华人民共和国行政强制法》的规定申请人民法院强制执行。</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1.没有法律和事实依据实施行政处罚的；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2.对应当予以制止或处罚的违法行为不予制止、处罚的；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3.不具备行政执法资格实施行政处罚的；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4.应当依法移送追究刑事责任，而未依法移送有关机关的；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5.未按裁量权规定滥用裁量权，行政处罚显失公正的；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6.违反法定的行政处罚程序的；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7.符合听证条件、行政管理相对人要求听证，应予组织听证而不组织听证的；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8.对当事人进行罚款等行政处罚不使用法定单据的；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9.在行政处罚过程中发生腐败行为的；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10.侵害公民、法人或者其他组织合法权益造成损失的；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11.其他违反法律法规规章文件规定的行为。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六条 行政机关实施行政处罚，有下列情形之一，由上级行政机关或者有关机关责令改正，对直接负责的主管人员和其他直接责任人员依法给予处分：（一）没有法定的行政处罚依据的；（二）擅自改变行政处罚种类、幅度的；</w:t>
            </w:r>
          </w:p>
          <w:p>
            <w:pPr>
              <w:keepNext w:val="0"/>
              <w:keepLines w:val="0"/>
              <w:widowControl/>
              <w:suppressLineNumbers w:val="0"/>
              <w:spacing w:before="0" w:beforeAutospacing="0" w:after="0" w:afterAutospacing="0"/>
              <w:ind w:left="0" w:right="0" w:firstLine="0" w:firstLineChars="0"/>
              <w:rPr>
                <w:rFonts w:hint="default"/>
                <w:color w:val="auto"/>
                <w:sz w:val="20"/>
                <w:szCs w:val="20"/>
              </w:rPr>
            </w:pPr>
            <w:r>
              <w:rPr>
                <w:rFonts w:hint="eastAsia" w:cs="宋体" w:asciiTheme="minorEastAsia" w:hAnsiTheme="minorEastAsia" w:eastAsiaTheme="minorEastAsia"/>
                <w:color w:val="auto"/>
                <w:kern w:val="0"/>
                <w:sz w:val="16"/>
                <w:szCs w:val="16"/>
              </w:rPr>
              <w:t>（三）违反法定的行政处罚程序的；（四）违反本法第二十条关于委托处罚的规定的；（五）执法人员未取得执法证件的。行政机关对符合立案标准的案件不及时立案的，依照前款规定予以处理。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宁夏回族自治区行政执法监督条例》第二十二条各级人民政府及其工作部门或者法制机构应当加强行政执法主体具体行政行为的监督，有下列情形之一的，依法予以纠正。（一）不具备行政执法主体资格的；（二）不履行或者拖延履行法定职责的；（三）主要事实不清、证据不足，适用依据错误的；（四）显失公正、明显不当的；（五）超越、滥用法定职权的；（六）违反法定程序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4.同3。</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5.《宁夏回族自治区行政程序规定》第一百一十三条</w:t>
            </w:r>
            <w:r>
              <w:rPr>
                <w:rFonts w:hint="eastAsia" w:cs="宋体" w:asciiTheme="minorEastAsia" w:hAnsiTheme="minorEastAsia" w:eastAsiaTheme="minorEastAsia"/>
                <w:color w:val="auto"/>
                <w:kern w:val="0"/>
                <w:sz w:val="16"/>
                <w:szCs w:val="16"/>
                <w:lang w:val="en-US" w:eastAsia="zh-CN"/>
              </w:rPr>
              <w:t xml:space="preserve"> </w:t>
            </w:r>
            <w:r>
              <w:rPr>
                <w:rFonts w:hint="eastAsia" w:cs="宋体" w:asciiTheme="minorEastAsia" w:hAnsiTheme="minorEastAsia" w:eastAsiaTheme="minorEastAsia"/>
                <w:color w:val="auto"/>
                <w:kern w:val="0"/>
                <w:sz w:val="16"/>
                <w:szCs w:val="16"/>
              </w:rPr>
              <w:t>“行政机关及其工作人员违反本规定，有下列情形之一的，依照国家和自治区有关规定追究责任：…（六）不按照行政裁量权基准进行裁量的；…”。</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lang w:val="en-US" w:eastAsia="zh-CN"/>
              </w:rPr>
            </w:pPr>
            <w:r>
              <w:rPr>
                <w:rFonts w:hint="eastAsia" w:cs="宋体" w:asciiTheme="minorEastAsia" w:hAnsiTheme="minorEastAsia" w:eastAsiaTheme="minorEastAsia"/>
                <w:color w:val="auto"/>
                <w:kern w:val="0"/>
                <w:sz w:val="16"/>
                <w:szCs w:val="16"/>
              </w:rPr>
              <w:t>6.</w:t>
            </w:r>
            <w:r>
              <w:rPr>
                <w:rFonts w:hint="eastAsia" w:cs="宋体" w:asciiTheme="minorEastAsia" w:hAnsiTheme="minorEastAsia" w:eastAsiaTheme="minorEastAsia"/>
                <w:color w:val="auto"/>
                <w:kern w:val="0"/>
                <w:sz w:val="16"/>
                <w:szCs w:val="16"/>
                <w:lang w:eastAsia="zh-CN"/>
              </w:rPr>
              <w:t>同</w:t>
            </w:r>
            <w:r>
              <w:rPr>
                <w:rFonts w:hint="eastAsia" w:cs="宋体" w:asciiTheme="minorEastAsia" w:hAnsiTheme="minorEastAsia" w:eastAsiaTheme="minorEastAsia"/>
                <w:color w:val="auto"/>
                <w:kern w:val="0"/>
                <w:sz w:val="16"/>
                <w:szCs w:val="16"/>
                <w:lang w:val="en-US" w:eastAsia="zh-CN"/>
              </w:rPr>
              <w:t>1</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7.同1</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lang w:eastAsia="zh-CN"/>
              </w:rPr>
              <w:t>《行政处罚法》</w:t>
            </w:r>
            <w:r>
              <w:rPr>
                <w:rFonts w:hint="eastAsia" w:cs="宋体" w:asciiTheme="minorEastAsia" w:hAnsiTheme="minorEastAsia" w:eastAsiaTheme="minorEastAsia"/>
                <w:color w:val="auto"/>
                <w:kern w:val="0"/>
                <w:sz w:val="16"/>
                <w:szCs w:val="16"/>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9.《行政处罚法》</w:t>
            </w:r>
            <w:r>
              <w:rPr>
                <w:rFonts w:hint="eastAsia" w:cs="宋体" w:asciiTheme="minorEastAsia" w:hAnsiTheme="minorEastAsia" w:eastAsiaTheme="minorEastAsia"/>
                <w:color w:val="auto"/>
                <w:kern w:val="0"/>
                <w:sz w:val="16"/>
                <w:szCs w:val="16"/>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keepNext w:val="0"/>
              <w:keepLines w:val="0"/>
              <w:widowControl/>
              <w:suppressLineNumbers w:val="0"/>
              <w:spacing w:before="0" w:beforeAutospacing="0" w:after="0" w:afterAutospacing="0"/>
              <w:ind w:left="0" w:right="0"/>
              <w:rPr>
                <w:rFonts w:hint="default"/>
                <w:color w:val="auto"/>
                <w:sz w:val="20"/>
                <w:szCs w:val="20"/>
              </w:rPr>
            </w:pPr>
            <w:r>
              <w:rPr>
                <w:rFonts w:hint="eastAsia" w:cs="宋体" w:asciiTheme="minorEastAsia" w:hAnsiTheme="minorEastAsia" w:eastAsiaTheme="minorEastAsia"/>
                <w:color w:val="auto"/>
                <w:kern w:val="0"/>
                <w:sz w:val="16"/>
                <w:szCs w:val="16"/>
              </w:rPr>
              <w:t>执法人员利用职务上的便利，索取或者收受他人财物、将收缴罚款据为己有，构成犯罪的，依法追究刑事责任；情节轻微不构成犯罪的，依法给予处分。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10.《宁夏回族自治区行政程序规定》第一百一十七条  行政机关违反法定程序实施行政行为，侵犯公民、法人或者其他组织合法权益造成损害的，依法承担行政赔偿责任。行政机关履行赔偿义务后，应当责令有故意或者重大过失的工作人员，承担部分或者全部赔偿费用。</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2.给予审核人和批准人诫勉谈话、责令限期整改、责令作出书面检查、责令公开道歉、取消年度评比先进资格、通报批评、责令停职反省或者责令辞职、建议免职以及处分等责任追究；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《统计违法违纪行为处分规定》第十三条  有统计违法违纪行为，应当给予党纪处分的，移送党的纪律检查机关处理。涉嫌犯罪的，移送司法机关依法追究刑事责任。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《宁夏回族自治区行政程序规定》第一百一十七条　行政机关违反法定程序实施行政行为，侵犯公民、法人或者其他组织合法权益造成损害的，依法承担行政赔偿责任。</w:t>
            </w:r>
          </w:p>
          <w:p>
            <w:pPr>
              <w:keepNext w:val="0"/>
              <w:keepLines w:val="0"/>
              <w:widowControl/>
              <w:suppressLineNumbers w:val="0"/>
              <w:spacing w:before="0" w:beforeAutospacing="0" w:after="0" w:afterAutospacing="0" w:line="180" w:lineRule="exact"/>
              <w:ind w:left="0" w:right="0" w:firstLine="32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行政机关履行赔偿义务后，应当责令有故意或者重大过失的工作人员，承担部分或者全部赔偿费用。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25</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行政检查</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0630001000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统计执法监督检查权</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第三十五条第一款 县级以上人民政府统计机构在调查统计违法行为或者核查统计数据时，有权采取下列措施：</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（一）发出统计检查查询书，向检查对象查询有关事项；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（二）要求检查对象提供有关原始记录和凭证、统计台账、统计调查表、会计资料及其他相关证明和资料；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（三）就与检查有关的事项询问有关人员；</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（四）进入检查对象的业务场所和统计数据处理信息系统进行检查、核对；</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（五）经本机构负责人批准，登记保存检查对象的有关原始记录和凭证、统计台账、统计调查表、会计资料及其他相关证明和资料；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（六）对与检查事项有关的情况和资料进行记录、录音、录像、照相和复制。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第二款 县级以上人民政府统计机构进行监督检查时，监督检查人员不得少于二人，并应当出示执法证件；未出示的，有关单位和个人有权拒绝检查。</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【行政法规】《中华人民共和国统计法实施条例》（2017年国务院第681号令）</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第三十九条 县级以上人民政府统计机构负责查处统计违法行为；法律、行政法规对有关部门查处统计违法行为另有规定的，从其规定。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【部门规章】《统计执法监督检查办法》（2017年国家统计局第21号令）</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第三条第二款 省级及市级统计执法监督检查机构在所属统计局或者国家调查队领导下，具体负责指导监督本地区、本系统统计执法监督检查工作，对本地区、本系统统计法执行情况的检查和查处统计违法行为。县级统计执法监督检查机构或者执法检查人员在所属统计局或者国家调查队领导下，依据法定分工负责本地区、本系统统计执法监督检查工作。</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1.检查责任：对本地区、本系统统计法执行情况的检查和查处统计违法行为。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2.处理责任：在监督检查过程中，发现违反法律、法规、规章等情况的，应当责令限期整改，依法予以处理。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3.归档责任：在监督检查后，对未发现违法行为或已改正违法行为等内容的相关资料进行归档。</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eastAsia" w:asciiTheme="minorEastAsia" w:hAnsiTheme="minorEastAsia" w:eastAsiaTheme="minorEastAsia"/>
                <w:color w:val="auto"/>
                <w:sz w:val="16"/>
                <w:szCs w:val="16"/>
              </w:rPr>
              <w:t xml:space="preserve"> 《统计执法监督检查办法》</w:t>
            </w:r>
            <w:r>
              <w:rPr>
                <w:rFonts w:hint="eastAsia" w:cs="宋体" w:asciiTheme="minorEastAsia" w:hAnsiTheme="minorEastAsia" w:eastAsiaTheme="minorEastAsia"/>
                <w:color w:val="auto"/>
                <w:kern w:val="0"/>
                <w:sz w:val="16"/>
                <w:szCs w:val="16"/>
              </w:rPr>
              <w:t>第三条　国家统计局统计执法监督局在国家统计局领导下，具体负责对全国统计执法监督检查工作的组织管理，指导监督地方统计机构和国家调查队统计执法监督检查机构工作，检查各地方、各部门统计法执行情况，查处重大统计违法行为。</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省级及市级统计执法监督检查机构在所属统计局或者国家调查队领导下，具体负责指导监督本地区、本系统统计执法监督检查工作，对本地区、本系统统计法执行情况的检查和查处统计违法行为。县级统计执法监督检查机构或者执法检查人员在所属统计局或者国家调查队领导下，依据法定分工负责本地区、本系统统计执法监督检查工作。</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地方统计机构和国家调查队应当建立统计执法监督检查沟通协作机制。</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w:t>
            </w:r>
            <w:r>
              <w:rPr>
                <w:rFonts w:hint="eastAsia" w:cs="宋体" w:asciiTheme="minorEastAsia" w:hAnsiTheme="minorEastAsia" w:eastAsiaTheme="minorEastAsia"/>
                <w:color w:val="auto"/>
                <w:kern w:val="0"/>
                <w:sz w:val="16"/>
                <w:szCs w:val="16"/>
                <w:lang w:val="en-US" w:eastAsia="zh-CN"/>
              </w:rPr>
              <w:t>-1</w:t>
            </w:r>
            <w:r>
              <w:rPr>
                <w:rFonts w:hint="eastAsia" w:cs="宋体" w:asciiTheme="minorEastAsia" w:hAnsiTheme="minorEastAsia" w:eastAsiaTheme="minorEastAsia"/>
                <w:color w:val="auto"/>
                <w:kern w:val="0"/>
                <w:sz w:val="16"/>
                <w:szCs w:val="16"/>
              </w:rPr>
              <w:t>.</w:t>
            </w:r>
            <w:r>
              <w:rPr>
                <w:rFonts w:hint="eastAsia" w:cs="宋体" w:asciiTheme="minorEastAsia" w:hAnsiTheme="minorEastAsia" w:eastAsiaTheme="minorEastAsia"/>
                <w:color w:val="auto"/>
                <w:kern w:val="0"/>
                <w:sz w:val="16"/>
                <w:szCs w:val="16"/>
                <w:lang w:eastAsia="zh-CN"/>
              </w:rPr>
              <w:t>《统计执法监督检查办法》</w:t>
            </w:r>
            <w:r>
              <w:rPr>
                <w:rFonts w:hint="eastAsia" w:cs="宋体" w:asciiTheme="minorEastAsia" w:hAnsiTheme="minorEastAsia" w:eastAsiaTheme="minorEastAsia"/>
                <w:color w:val="auto"/>
                <w:kern w:val="0"/>
                <w:sz w:val="16"/>
                <w:szCs w:val="16"/>
              </w:rPr>
              <w:t>第二十二条　县级以上人民政府统计机构和执法检查人员对在执法监督检查过程中知悉的国家秘密、商业秘密、个人信息资料和能够识别或者推断单个调查对象身份的资料，负有保密义务。</w:t>
            </w:r>
          </w:p>
          <w:p>
            <w:pPr>
              <w:keepNext w:val="0"/>
              <w:keepLines w:val="0"/>
              <w:widowControl/>
              <w:suppressLineNumbers w:val="0"/>
              <w:spacing w:before="0" w:beforeAutospacing="0" w:after="0" w:afterAutospacing="0" w:line="180" w:lineRule="exact"/>
              <w:ind w:left="0" w:right="0" w:firstLine="0" w:firstLineChars="0"/>
              <w:jc w:val="both"/>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2-2.</w:t>
            </w:r>
            <w:r>
              <w:rPr>
                <w:rFonts w:hint="eastAsia" w:cs="宋体" w:asciiTheme="minorEastAsia" w:hAnsiTheme="minorEastAsia" w:eastAsiaTheme="minorEastAsia"/>
                <w:color w:val="auto"/>
                <w:kern w:val="0"/>
                <w:sz w:val="16"/>
                <w:szCs w:val="16"/>
                <w:lang w:eastAsia="zh-CN"/>
              </w:rPr>
              <w:t>《统计执法监督检查办法》</w:t>
            </w:r>
            <w:r>
              <w:rPr>
                <w:rFonts w:hint="eastAsia" w:cs="宋体" w:asciiTheme="minorEastAsia" w:hAnsiTheme="minorEastAsia" w:eastAsiaTheme="minorEastAsia"/>
                <w:color w:val="auto"/>
                <w:kern w:val="0"/>
                <w:sz w:val="16"/>
                <w:szCs w:val="16"/>
              </w:rPr>
              <w:t>　　第二十三条　统计执法监督检查机构应当在调查结束后，及时向所属人民政府统计机构提交监督检查报告，报告检查中发现的问题并提出处理建议。处理建议包括：（一）发现有统计违法行为，符合立案查处条件的，予以立案查处；　　（二）发现统计违法事实不清、证据不足或者程序错误的，应当及时补充或者重新调查；　　（三）按照违法行为性质、情节，提请上一级或者移交下级人民政府统计机构立案查处；</w:t>
            </w:r>
          </w:p>
          <w:p>
            <w:pPr>
              <w:keepNext w:val="0"/>
              <w:keepLines w:val="0"/>
              <w:widowControl/>
              <w:suppressLineNumbers w:val="0"/>
              <w:spacing w:before="0" w:beforeAutospacing="0" w:after="0" w:afterAutospacing="0" w:line="180" w:lineRule="exact"/>
              <w:ind w:left="0" w:right="0" w:firstLine="0" w:firstLineChars="0"/>
              <w:jc w:val="both"/>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（四）未发现统计违法行为或者统计违法事实轻微，依法不应追究法律责任的，不予处理。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lang w:val="en-US" w:eastAsia="zh-CN"/>
              </w:rPr>
              <w:t>3.</w:t>
            </w:r>
            <w:r>
              <w:rPr>
                <w:rFonts w:hint="eastAsia" w:cs="宋体" w:asciiTheme="minorEastAsia" w:hAnsiTheme="minorEastAsia" w:eastAsiaTheme="minorEastAsia"/>
                <w:color w:val="auto"/>
                <w:kern w:val="0"/>
                <w:sz w:val="16"/>
                <w:szCs w:val="16"/>
              </w:rPr>
              <w:t>《宁夏回族自治区行政程序规定》第五十二条　行政机关应当建立行政执法案卷，对公民、法人和其他组织的监督检查记录、证据材料、执法文书立卷归档。</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1.不具备法定执法检查权实施执法检查的；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2.不按法定权限或超越法定权限实施执法检查的；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3.不按法定程序实施执法检查的；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4.监督检查过程中存在滥用职权、玩忽职守、徇私舞弊行为的；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5.在监督检查过程中发生腐败行为的；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default" w:cs="宋体" w:asciiTheme="minorEastAsia" w:hAnsiTheme="minorEastAsia" w:eastAsiaTheme="minorEastAsia"/>
                <w:color w:val="auto"/>
                <w:kern w:val="0"/>
                <w:sz w:val="16"/>
                <w:szCs w:val="16"/>
              </w:rPr>
              <w:t>.</w:t>
            </w:r>
            <w:r>
              <w:rPr>
                <w:rFonts w:hint="eastAsia" w:cs="宋体" w:asciiTheme="minorEastAsia" w:hAnsiTheme="minorEastAsia" w:eastAsiaTheme="minorEastAsia"/>
                <w:color w:val="auto"/>
                <w:kern w:val="0"/>
                <w:sz w:val="16"/>
                <w:szCs w:val="16"/>
              </w:rPr>
              <w:t>《宁夏回族自治区行政程序规定》第一百一十三条　行政机关及其工作人员违反本规定，有下列情形之一的，依照国家和自治区有关规定追究责任：…（四）不履行或拖延履行法定职责的。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2.同上。</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3-1.同１。</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lang w:val="en-US" w:eastAsia="zh-CN"/>
              </w:rPr>
              <w:t>-2</w:t>
            </w:r>
            <w:r>
              <w:rPr>
                <w:rFonts w:hint="eastAsia" w:cs="宋体" w:asciiTheme="minorEastAsia" w:hAnsiTheme="minorEastAsia" w:eastAsiaTheme="minorEastAsia"/>
                <w:color w:val="auto"/>
                <w:kern w:val="0"/>
                <w:sz w:val="16"/>
                <w:szCs w:val="16"/>
              </w:rPr>
              <w:t>．《宁夏回族自治区行政程序规定》第一百一十三条　行政机关及其工作人员违反本规定，有下列情形之一的，依照国家和自治区有关规定追究责任：…（三）超越或者滥用职权…</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rPr>
              <w:t>1.《行政机关公务员处分条例》第二十三条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lang w:val="en-US" w:eastAsia="zh-CN"/>
              </w:rPr>
              <w:t>-</w:t>
            </w:r>
            <w:r>
              <w:rPr>
                <w:rFonts w:hint="eastAsia" w:cs="宋体" w:asciiTheme="minorEastAsia" w:hAnsiTheme="minorEastAsia" w:eastAsiaTheme="minorEastAsia"/>
                <w:color w:val="auto"/>
                <w:kern w:val="0"/>
                <w:sz w:val="16"/>
                <w:szCs w:val="16"/>
              </w:rPr>
              <w:t>2.《事业单位工作人员处分暂行规定》 第十八条 有下列行为之一的，给予警告或者记过处分；情节较重的，给予降低岗位等级或者撤职处分；情节严重的，给予开除处分：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一）贪污、索贿、受贿、行贿、介绍贿赂、挪用公款的；（二）利用工作之便为本人或者他人谋取不正当利益的；（三）在公务活动或者工作中接受礼金、各种有价证券、支付凭证的；（四）利用知悉或者掌握的内幕信息谋取利益的；（五）用公款旅游或者变相用公款旅游的；（六）违反国家规定，从事、参与营利性活动或者兼任职务领取报酬的；（七）其他违反廉洁从业纪律的行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5.同1-1。</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26</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0830001000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表彰</w:t>
            </w:r>
            <w:r>
              <w:rPr>
                <w:rFonts w:hint="default" w:cs="宋体" w:asciiTheme="minorEastAsia" w:hAnsiTheme="minorEastAsia" w:eastAsiaTheme="minorEastAsia"/>
                <w:color w:val="auto"/>
                <w:kern w:val="0"/>
                <w:sz w:val="16"/>
                <w:szCs w:val="16"/>
              </w:rPr>
              <w:t>奖励权</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第八条　统计工作应当接受社会公众的监督。任何单位和个人有权检举统计中弄虚作假等违法行为。对检举有功的单位和个人应当给予表彰和奖励。</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第八条　统计工作应当接受社会公众的监督。任何单位和个人有权检举统计中弄虚作假等违法行为。对检举有功的单位和个人应当给予表彰和奖励。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27</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0830002000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对经济普查工作中贡献突出的先进集体和先进个人给予表彰和奖励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【行政法规】《全国经济普查条例》（2018年国务院令第702号修订）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第三十四条  对在经济普查工作中贡献突出的先进集体和先进个人，由各级经济普查机构给予表彰和奖励。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【行政法规】《全国经济普查条例》（国务院令第415号）第三十四条  对在经济普查工作中贡献突出的先进集体和先进个人，由各级经济普查机构给予表彰和奖励。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w:t>
            </w:r>
            <w:r>
              <w:rPr>
                <w:rFonts w:hint="default" w:cs="宋体" w:asciiTheme="minorEastAsia" w:hAnsiTheme="minorEastAsia" w:eastAsiaTheme="minorEastAsia"/>
                <w:color w:val="auto"/>
                <w:kern w:val="0"/>
                <w:sz w:val="16"/>
                <w:szCs w:val="16"/>
              </w:rPr>
              <w:t>8</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0830003000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ascii="楷体_GB2312" w:hAnsi="宋体" w:eastAsia="楷体_GB2312" w:cs="宋体"/>
                <w:color w:val="auto"/>
                <w:kern w:val="0"/>
                <w:sz w:val="18"/>
                <w:szCs w:val="18"/>
              </w:rPr>
            </w:pPr>
            <w:r>
              <w:rPr>
                <w:rFonts w:hint="eastAsia" w:cs="宋体" w:asciiTheme="minorEastAsia" w:hAnsiTheme="minorEastAsia" w:eastAsiaTheme="minorEastAsia"/>
                <w:color w:val="auto"/>
                <w:kern w:val="0"/>
                <w:sz w:val="16"/>
                <w:szCs w:val="16"/>
              </w:rPr>
              <w:t>对经济普查违法行为举报有功人员给予奖励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【行政法规】《全国经济普查条例》（2018年国务院令第702号修订）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第三十七条  各级经济普查机构应当设立举报电话，接受社会各界对经济普查中单位和个人违法行为的检举和监督，并对举报有功人员给予奖励。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【行政法规】《全国经济普查条例》（国务院令第415号）第三十七条  各级经济普查机构应当设立举报电话，接受社会各界对经济普查中单位和个人违法行为的检举和监督，并对举报有功人员给予奖励。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29</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0830004000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对农业普查中做出显著成绩的单位和个人给予奖励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【行政法规】《全国农业普查条例》（2006年国务院令第473号）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第三十六条对认真执行本条例，忠于职守，坚持原则，做出显著成绩的单位和个人，应当给予奖励。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【行政法规】《全国农业普查条例》（国务院令第473号） 第三十六条对认真执行本条例，忠于职守，坚持原则，做出显著成绩的单位和个人，应当给予奖励。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30</w:t>
            </w:r>
          </w:p>
        </w:tc>
        <w:tc>
          <w:tcPr>
            <w:tcW w:w="350"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61"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0830005000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ascii="楷体_GB2312" w:hAnsi="宋体" w:eastAsia="楷体_GB2312" w:cs="宋体"/>
                <w:color w:val="auto"/>
                <w:kern w:val="0"/>
                <w:sz w:val="18"/>
                <w:szCs w:val="18"/>
              </w:rPr>
            </w:pPr>
            <w:r>
              <w:rPr>
                <w:rFonts w:hint="eastAsia" w:cs="宋体" w:asciiTheme="minorEastAsia" w:hAnsiTheme="minorEastAsia" w:eastAsiaTheme="minorEastAsia"/>
                <w:color w:val="auto"/>
                <w:kern w:val="0"/>
                <w:sz w:val="16"/>
                <w:szCs w:val="16"/>
              </w:rPr>
              <w:t>对农业普查违法行为举报有功人员给予奖励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【行政法规】《全国农业普查条例》（2006年国务院令第473号）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   第四十一条 普查办公室应当设立举报电话和信箱，接受社会各界对农业普查违法行为的检举和监督，并对举报有功人员给予奖励。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【行政法规】《全国农业普查条例》（国务院令第473号） 第四十一条普查办公室应当设立举报电话和信箱，接受社会各界对农业普查违法行为的检举和监督，并对举报有功人员给予奖励。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31</w:t>
            </w:r>
          </w:p>
        </w:tc>
        <w:tc>
          <w:tcPr>
            <w:tcW w:w="350"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61"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0830006000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ascii="楷体_GB2312" w:hAnsi="宋体" w:eastAsia="楷体_GB2312" w:cs="宋体"/>
                <w:color w:val="auto"/>
                <w:kern w:val="0"/>
                <w:sz w:val="18"/>
                <w:szCs w:val="18"/>
              </w:rPr>
            </w:pPr>
            <w:r>
              <w:rPr>
                <w:rFonts w:hint="eastAsia" w:cs="宋体" w:asciiTheme="minorEastAsia" w:hAnsiTheme="minorEastAsia" w:eastAsiaTheme="minorEastAsia"/>
                <w:color w:val="auto"/>
                <w:kern w:val="0"/>
                <w:sz w:val="16"/>
                <w:szCs w:val="16"/>
              </w:rPr>
              <w:t>对人口普查中做出显著成绩的单位和个人给予表彰和奖励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xml:space="preserve">【行政法规】《全国人口普查条例》（2010年国务院令第576号） </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第十条 对认真执行本条例，忠于职守、坚持原则，做出显著成绩的单位和个人，按照国家有关规定给予表彰和奖励。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w:t>
            </w:r>
            <w:r>
              <w:rPr>
                <w:rFonts w:hint="eastAsia" w:cs="宋体" w:asciiTheme="minorEastAsia" w:hAnsiTheme="minorEastAsia" w:eastAsiaTheme="minorEastAsia"/>
                <w:color w:val="auto"/>
                <w:kern w:val="0"/>
                <w:sz w:val="16"/>
                <w:szCs w:val="16"/>
              </w:rPr>
              <w:t>国家</w:t>
            </w:r>
            <w:r>
              <w:rPr>
                <w:rFonts w:hint="default" w:cs="宋体" w:asciiTheme="minorEastAsia" w:hAnsiTheme="minorEastAsia" w:eastAsiaTheme="minorEastAsia"/>
                <w:color w:val="auto"/>
                <w:kern w:val="0"/>
                <w:sz w:val="16"/>
                <w:szCs w:val="16"/>
              </w:rPr>
              <w:t>统计局</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【行政法规】《全国人口普查条例》（国务院令第576号） 第十条对认真执行本条例，忠于职守、坚持原则，做出显著成绩的单位和个人，按照国家有关规定给予表彰和奖励。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32</w:t>
            </w:r>
          </w:p>
        </w:tc>
        <w:tc>
          <w:tcPr>
            <w:tcW w:w="350"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行政奖励</w:t>
            </w:r>
          </w:p>
        </w:tc>
        <w:tc>
          <w:tcPr>
            <w:tcW w:w="361"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0830007000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ascii="楷体_GB2312" w:hAnsi="宋体" w:eastAsia="楷体_GB2312" w:cs="宋体"/>
                <w:color w:val="auto"/>
                <w:kern w:val="0"/>
                <w:sz w:val="18"/>
                <w:szCs w:val="18"/>
              </w:rPr>
            </w:pPr>
            <w:r>
              <w:rPr>
                <w:rFonts w:hint="eastAsia" w:cs="宋体" w:asciiTheme="minorEastAsia" w:hAnsiTheme="minorEastAsia" w:eastAsiaTheme="minorEastAsia"/>
                <w:color w:val="auto"/>
                <w:kern w:val="0"/>
                <w:sz w:val="16"/>
                <w:szCs w:val="16"/>
              </w:rPr>
              <w:t>对统计工作做出突出贡献、取得显著成绩的单位和个人给予表彰和奖励</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【行政法规】《中华人民共和国统计法实施条例》(2017年国务院令第681号)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第三十五条 对在统计工作中做出突出贡献、取得显著成绩的单位和个人，按照国家有关规定给予表彰和奖励。</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l.受理责任：受理各市、县（区）报送的检举有功的单位和个人的相关材料。</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2.审核责任：对各市、县（区）报送的相关材料进行审核，提出审核意见。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3.上报责任：将检举有功的单位和个人的符合奖励条件的材料上报本级人民</w:t>
            </w:r>
            <w:r>
              <w:rPr>
                <w:rFonts w:hint="default" w:cs="宋体" w:asciiTheme="minorEastAsia" w:hAnsiTheme="minorEastAsia" w:eastAsiaTheme="minorEastAsia"/>
                <w:color w:val="auto"/>
                <w:kern w:val="0"/>
                <w:sz w:val="16"/>
                <w:szCs w:val="16"/>
              </w:rPr>
              <w:t>政府或国家</w:t>
            </w:r>
            <w:r>
              <w:rPr>
                <w:rFonts w:hint="eastAsia" w:cs="宋体" w:asciiTheme="minorEastAsia" w:hAnsiTheme="minorEastAsia" w:eastAsiaTheme="minorEastAsia"/>
                <w:color w:val="auto"/>
                <w:kern w:val="0"/>
                <w:sz w:val="16"/>
                <w:szCs w:val="16"/>
              </w:rPr>
              <w:t>统计局。</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4.表彰责任：按照规定的标准、权限和程序进行表彰。</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5.其他法律法规规章文件规定应履行的责任。</w:t>
            </w:r>
          </w:p>
        </w:tc>
        <w:tc>
          <w:tcPr>
            <w:tcW w:w="457" w:type="pct"/>
            <w:shd w:val="clear" w:color="auto" w:fill="auto"/>
          </w:tcPr>
          <w:p>
            <w:pPr>
              <w:keepNext w:val="0"/>
              <w:keepLines w:val="0"/>
              <w:widowControl/>
              <w:suppressLineNumbers w:val="0"/>
              <w:spacing w:before="0" w:beforeAutospacing="0" w:after="24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【行政法规】《中华人民共和国统计法实施条例》(国务院令第681号)第三十五条对在统计工作中做出突出贡献、取得显著成绩的单位和个人，按照国家有关规定给予表彰和奖励。</w:t>
            </w: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1.未按规定进行审核、公示、上报的；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2.未经批准擅自举办奖励表彰活动的；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3.违反规定向参评单位和个人收取费用的；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4.工作中滥用职权、徇私舞弊、玩忽职守造成不良后果的；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5.工作中发生贪污腐败行为的；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1．《宁夏回族自治区行政程序规定》第一百一十三条　行政机关及其工作人员违反本规定，有下列情形之一的，依照国家和自治区有关规定追究责任：…（二）超越或者滥用职权的；…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2.同</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.《中国共产党纪律处分条例》第一百二十七条  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前款所列人员，在工作中滥用职权或者玩忽职守，给党、国家和人民利益以及公共财产造成较大损失的，给予严重警告处分；造成重大损失的，给予撤销党内职务、留党察看或者开除党籍处分。在工作中徇私舞弊的，从重或者加重处分。本条例另有规定的，依照规定。</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4</w:t>
            </w:r>
            <w:r>
              <w:rPr>
                <w:rFonts w:hint="eastAsia" w:cs="宋体" w:asciiTheme="minorEastAsia" w:hAnsiTheme="minorEastAsia" w:eastAsiaTheme="minorEastAsia"/>
                <w:color w:val="auto"/>
                <w:kern w:val="0"/>
                <w:sz w:val="16"/>
                <w:szCs w:val="16"/>
              </w:rPr>
              <w:t xml:space="preserve">.《中国共产党纪律处分条例》第八十五条 </w:t>
            </w:r>
            <w:r>
              <w:rPr>
                <w:rFonts w:hint="default" w:cs="宋体" w:asciiTheme="minorEastAsia" w:hAnsiTheme="minorEastAsia" w:eastAsiaTheme="minorEastAsia"/>
                <w:color w:val="auto"/>
                <w:kern w:val="0"/>
                <w:sz w:val="16"/>
                <w:szCs w:val="16"/>
              </w:rPr>
              <w:t xml:space="preserve"> </w:t>
            </w:r>
            <w:r>
              <w:rPr>
                <w:rFonts w:hint="eastAsia" w:cs="宋体" w:asciiTheme="minorEastAsia" w:hAnsiTheme="minorEastAsia" w:eastAsiaTheme="minorEastAsia"/>
                <w:color w:val="auto"/>
                <w:kern w:val="0"/>
                <w:sz w:val="16"/>
                <w:szCs w:val="16"/>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前款所列人员利用职务上的便利，变相非法收受他人财物为他人谋取利益，情节较重的，给予警告或者严重警告处分；情节严重的，给予撤销党内职务、留党察看或者开除党籍处分。因受贿给国家、集体和人民利益造成重大损失的，从重或者加重处分，直至开除党籍。因索取财物未遂而刁难报复对方，给对方造成损失的，给予警告或者严重警告处分；情节较重的，给予撤销党内职务或者留党察看处分；情节严重的，给予开除党籍处分。</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对不履行或不正确履行行政职责的行政机关及相关工作人员由上级行政机关或本级人民政府、监察机关、任免机关、政府法制机构等，依据过错与责任相适应的原则，按照各自权限，以下列方式追究其责任：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151"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center"/>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33</w:t>
            </w:r>
          </w:p>
        </w:tc>
        <w:tc>
          <w:tcPr>
            <w:tcW w:w="355" w:type="pct"/>
            <w:gridSpan w:val="2"/>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其他类</w:t>
            </w:r>
          </w:p>
        </w:tc>
        <w:tc>
          <w:tcPr>
            <w:tcW w:w="356" w:type="pct"/>
            <w:shd w:val="clear" w:color="auto" w:fill="auto"/>
            <w:noWrap/>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1030001000</w:t>
            </w:r>
          </w:p>
        </w:tc>
        <w:tc>
          <w:tcPr>
            <w:tcW w:w="227"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统计调查权</w:t>
            </w:r>
          </w:p>
        </w:tc>
        <w:tc>
          <w:tcPr>
            <w:tcW w:w="229" w:type="pct"/>
            <w:shd w:val="clear" w:color="auto" w:fill="auto"/>
            <w:vAlign w:val="center"/>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【法律】《中华人民共和国统计法》（2009年修订）</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第六条第一款 统计机构和统计人员依照本法规定独立行使统计调查、统计报告、统计监督的职权，不受侵犯。</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【行政法规】《中华人民共和国统计法实施条例》（2017年国务院令第681号）</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第四条第二款 地方人民政府、县级以上人民政府统计机构和有关部门及其负责人应当保障统计活动依法进行，不得侵犯统计机构、统计人员独立行使统计调查、统计报告、统计监督职权，不得非法干预统计调查对象提供统计资料，不得统计造假、弄虚作假。</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第四条第三款 统计调查对象应当依照统计法和国家有关规定，真实、准确、完整、及时地提供统计资料，拒绝、抵制弄虚作假等违法行为。</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【地方性法规】《宁夏回族自治区统计管理条例》（2017年修改）第二条第一款 凡在本自治区行政区域内的国家机关、社会团体、企业事业组织、个体工商户和自治区在区外、港澳地区、国外举办的企业事业组织等统计调查对象，必须依照本条例向统计部门如实提供统计资料，并接受统计部门和统计检查人员的监督、检查。</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l.调查责任：调查、搜集有关资料，召开调查会议，检查与统计资料有关的原始记录和凭证。</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2.报告责任：将统计调查取得的统计资料和情况加以整理、分析，向上级领导机关和有关部门提出统计报告。</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3.监督责任：根据统计调查和统计分析，对国民经济和社会发展情况进行统计监督。</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4.其他法律法规规章文件规定应履行的责任。</w:t>
            </w:r>
          </w:p>
        </w:tc>
        <w:tc>
          <w:tcPr>
            <w:tcW w:w="457"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w:t>
            </w:r>
            <w:r>
              <w:rPr>
                <w:rFonts w:hint="default" w:cs="宋体" w:asciiTheme="minorEastAsia" w:hAnsiTheme="minorEastAsia" w:eastAsiaTheme="minorEastAsia"/>
                <w:color w:val="auto"/>
                <w:kern w:val="0"/>
                <w:sz w:val="16"/>
                <w:szCs w:val="16"/>
              </w:rPr>
              <w:t>-1</w:t>
            </w:r>
            <w:r>
              <w:rPr>
                <w:rFonts w:hint="eastAsia" w:cs="宋体" w:asciiTheme="minorEastAsia" w:hAnsiTheme="minorEastAsia" w:eastAsiaTheme="minorEastAsia"/>
                <w:color w:val="auto"/>
                <w:kern w:val="0"/>
                <w:sz w:val="16"/>
                <w:szCs w:val="16"/>
              </w:rPr>
              <w:t>.《中华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第二十八条　县级以上人民政府有关部门根据统计任务的需要设立统计机构，或者在有关机构中设置统计人员，并指定统计负责人，依法组织、管理本部门职责范围内的统计工作，实施统计调查，在统计业务上受本级人民政府统计机构的指导。</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1-2.</w:t>
            </w:r>
            <w:r>
              <w:rPr>
                <w:rFonts w:hint="eastAsia" w:cs="宋体" w:asciiTheme="minorEastAsia" w:hAnsiTheme="minorEastAsia" w:eastAsiaTheme="minorEastAsia"/>
                <w:color w:val="auto"/>
                <w:kern w:val="0"/>
                <w:sz w:val="16"/>
                <w:szCs w:val="16"/>
              </w:rPr>
              <w:t xml:space="preserve"> 《中华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 xml:space="preserve"> 第二十九条　统计机构、统计人员应当依法履行职责，如实搜集、报送统计资料，不得伪造、篡改统计资料，不得以任何方式要求任何单位和个人提供不真实的统计资料，不得有其他违反本法规定的行为。</w:t>
            </w: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统计人员应当坚持实事是，恪守职业道德，对其负责搜集、审核、录入的统计资料与统计调查对象报送的统计资料的一致性负责。</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1-3. 《中华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第三十条　统计人员进行统计调查时，有权就与统计有关的问题询问有关人员，要求其如实提供有关情况、资料并改正不真实、不准确的资料。</w:t>
            </w:r>
          </w:p>
          <w:p>
            <w:pPr>
              <w:keepNext w:val="0"/>
              <w:keepLines w:val="0"/>
              <w:widowControl/>
              <w:suppressLineNumbers w:val="0"/>
              <w:spacing w:before="0" w:beforeAutospacing="0" w:after="0" w:afterAutospacing="0" w:line="180" w:lineRule="exact"/>
              <w:ind w:left="0" w:right="0" w:firstLine="324"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统计人员进行统计调查时，应当出示县级以上人民政府统计机构或者有关部门颁发的工作证件；未出示的，统计调查对象有权拒绝调查。</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 《中华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第六条　统计机构和统计人员依照本法规定独立行使统计调查、统计报告、统计监督的职权，不受侵犯。</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default" w:cs="宋体" w:asciiTheme="minorEastAsia" w:hAnsiTheme="minorEastAsia" w:eastAsiaTheme="minorEastAsia"/>
                <w:color w:val="auto"/>
                <w:kern w:val="0"/>
                <w:sz w:val="16"/>
                <w:szCs w:val="16"/>
              </w:rPr>
              <w:t>3.</w:t>
            </w:r>
            <w:r>
              <w:rPr>
                <w:rFonts w:hint="eastAsia" w:cs="宋体" w:asciiTheme="minorEastAsia" w:hAnsiTheme="minorEastAsia" w:eastAsiaTheme="minorEastAsia"/>
                <w:color w:val="auto"/>
                <w:kern w:val="0"/>
                <w:sz w:val="16"/>
                <w:szCs w:val="16"/>
              </w:rPr>
              <w:t>《中华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》第二条　　统计的基本任务是对经济社会发展情况进行统计调查、统计分析，提供统计资料和统计咨询意见，实行统计监督。</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因不履行或不正确履行行政职责，有下列情形的，行政机关及相关工作人员应承担相应责任：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1.未经批准擅自组织实施统计调查的；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2.未经批准擅自变更统计调查制度内容的；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3.伪造、篡改统计资料的；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4.要求统计调查对象或者其他机构、人员提供不真实的统计资料的；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5.未按照统计调查制度的规定报送有关资料的；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6.对依法履行职责或者拒绝、抵制统计违法行为的统计人员打击报复的；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7.对本地方、本部门、本单位发生的严重统计违法行为失察的；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8.其他违反法律法规规章文件规定的行为</w:t>
            </w:r>
          </w:p>
        </w:tc>
        <w:tc>
          <w:tcPr>
            <w:tcW w:w="55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 《中华</w:t>
            </w:r>
            <w:r>
              <w:rPr>
                <w:rFonts w:hint="default" w:cs="宋体" w:asciiTheme="minorEastAsia" w:hAnsiTheme="minorEastAsia" w:eastAsiaTheme="minorEastAsia"/>
                <w:color w:val="auto"/>
                <w:kern w:val="0"/>
                <w:sz w:val="16"/>
                <w:szCs w:val="16"/>
              </w:rPr>
              <w:t>人民共和国统计法</w:t>
            </w:r>
            <w:r>
              <w:rPr>
                <w:rFonts w:hint="eastAsia" w:cs="宋体" w:asciiTheme="minorEastAsia" w:hAnsiTheme="minorEastAsia" w:eastAsiaTheme="minorEastAsia"/>
                <w:color w:val="auto"/>
                <w:kern w:val="0"/>
                <w:sz w:val="16"/>
                <w:szCs w:val="16"/>
              </w:rPr>
              <w:t>》第三十八条　县级以上人民政府统计机构或者有关部门在组织实施统计调查活动中有下列行为之一的，由本级人民政府、上级人民政府统计机构或者本级人民政府统计机构责令改正，予以通报；对直接负责的主管人员和其他直接责任人员，由任免机关或者监察机关依法给予处分：（一）未经批准擅自组织实施统计调查的；（二）未经批准擅自变更统计调查制度的内容的；（三）伪造、篡改统计资料的；（四）要求统计调查对象或者其他机构、人员提供不真实的统计资料的；（五）未按照统计调查制度的规定报送有关资料的。</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　　统计人员有前款第三项至第五项所列行为之一的，责令改正，依法给予处分。</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tc>
        <w:tc>
          <w:tcPr>
            <w:tcW w:w="508"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对不履行或不正确履行行政职责的行政机关及相关工作人员,由上级行政机关或本级人民政府、监察机关、任免机关、政府法制机构等，依据过错与责任适应原则，按照各自权限，以下列方式追究其责任：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1.给予具体承办人责令作出书面检查、批评教育、取消年度评比先进资格、暂扣行政执法证件、离岗培训、调离工作岗位、取消行政执法资格以及处分等责任追究；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2.给予审核人诫勉谈话、责令限期整改、责令作出书面检查、责令公开道歉、取消年度评比先进资格、通报批评、责令停职反省或者责令辞职、建议免职以及处分等责任追究；</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3.给予行政机关责令限期整改、通报批评、取消评比先进资格等责任追究；</w:t>
            </w: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4.对违反党纪的工作人员（中共党员）给予党纪处分，对涉嫌构成犯罪的工作人员，移交司法机关，依法追究刑事责任；</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5.其他法律法规规章文件规定的责任承担方式。</w:t>
            </w:r>
          </w:p>
        </w:tc>
        <w:tc>
          <w:tcPr>
            <w:tcW w:w="579" w:type="pct"/>
            <w:shd w:val="clear" w:color="auto" w:fill="auto"/>
          </w:tcPr>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r>
              <w:rPr>
                <w:rFonts w:hint="eastAsia" w:cs="宋体" w:asciiTheme="minorEastAsia" w:hAnsiTheme="minorEastAsia" w:eastAsiaTheme="minorEastAsia"/>
                <w:color w:val="auto"/>
                <w:kern w:val="0"/>
                <w:sz w:val="16"/>
                <w:szCs w:val="16"/>
              </w:rPr>
              <w:t>《宁夏回族自治区行政程序规定》第一百一十五条责任追究采用下列方式：(一)对行政机关的责任追究方式为：责令限期整改、通报批评、取消评比先进的资格等；(二)对行政机关审核人和批准人的责任追究方式为：诫勉谈话、责令限期整改、责令作出书面检查、责令公开道歉、取消年度评比先进资格、通报批评、责令停职反省或者责令辞职、建议免职以及处分；(三)对行政机关行政行为的具体承办人的责任追究方式为：责令作出书面检查、批评教育、取消年度评比先进资格、暂扣行政执法证件、离岗培训、调离工作岗位、取消行政执法资格以及处分等。</w:t>
            </w: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default" w:cs="宋体" w:asciiTheme="minorEastAsia" w:hAnsiTheme="minorEastAsia" w:eastAsiaTheme="minorEastAsia"/>
                <w:color w:val="auto"/>
                <w:kern w:val="0"/>
                <w:sz w:val="16"/>
                <w:szCs w:val="16"/>
              </w:rPr>
            </w:pPr>
          </w:p>
          <w:p>
            <w:pPr>
              <w:keepNext w:val="0"/>
              <w:keepLines w:val="0"/>
              <w:widowControl/>
              <w:suppressLineNumbers w:val="0"/>
              <w:spacing w:before="0" w:beforeAutospacing="0" w:after="0" w:afterAutospacing="0" w:line="180" w:lineRule="exact"/>
              <w:ind w:left="0" w:right="0" w:firstLine="0" w:firstLineChars="0"/>
              <w:jc w:val="left"/>
              <w:rPr>
                <w:rFonts w:hint="eastAsia" w:cs="宋体" w:asciiTheme="minorEastAsia" w:hAnsiTheme="minorEastAsia" w:eastAsiaTheme="minorEastAsia"/>
                <w:color w:val="auto"/>
                <w:kern w:val="0"/>
                <w:sz w:val="16"/>
                <w:szCs w:val="16"/>
              </w:rPr>
            </w:pPr>
          </w:p>
        </w:tc>
      </w:tr>
    </w:tbl>
    <w:p>
      <w:pPr>
        <w:ind w:firstLine="0" w:firstLineChars="0"/>
        <w:rPr>
          <w:rFonts w:asciiTheme="minorEastAsia" w:hAnsiTheme="minorEastAsia" w:eastAsiaTheme="minorEastAsia"/>
          <w:color w:val="auto"/>
          <w:sz w:val="16"/>
          <w:szCs w:val="16"/>
        </w:rPr>
      </w:pPr>
    </w:p>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00"/>
      </w:pPr>
      <w:r>
        <w:separator/>
      </w:r>
    </w:p>
  </w:endnote>
  <w:endnote w:type="continuationSeparator" w:id="1">
    <w:p>
      <w:pPr>
        <w:spacing w:line="240" w:lineRule="auto"/>
        <w:ind w:firstLine="4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00"/>
      </w:pPr>
      <w:r>
        <w:separator/>
      </w:r>
    </w:p>
  </w:footnote>
  <w:footnote w:type="continuationSeparator" w:id="1">
    <w:p>
      <w:pPr>
        <w:spacing w:line="240" w:lineRule="auto"/>
        <w:ind w:firstLine="4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drawingGridHorizontalSpacing w:val="10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0A"/>
    <w:rsid w:val="000727BA"/>
    <w:rsid w:val="000D0D6B"/>
    <w:rsid w:val="00102521"/>
    <w:rsid w:val="00136ECC"/>
    <w:rsid w:val="001769EF"/>
    <w:rsid w:val="001F1F5B"/>
    <w:rsid w:val="00201A4E"/>
    <w:rsid w:val="0024512D"/>
    <w:rsid w:val="00260F14"/>
    <w:rsid w:val="00266FCC"/>
    <w:rsid w:val="002B5895"/>
    <w:rsid w:val="002C14C3"/>
    <w:rsid w:val="00335CB1"/>
    <w:rsid w:val="00337053"/>
    <w:rsid w:val="0034127C"/>
    <w:rsid w:val="00374FC0"/>
    <w:rsid w:val="0039181D"/>
    <w:rsid w:val="003B7582"/>
    <w:rsid w:val="0041461B"/>
    <w:rsid w:val="00475FB2"/>
    <w:rsid w:val="004B2611"/>
    <w:rsid w:val="004B5D79"/>
    <w:rsid w:val="005024CA"/>
    <w:rsid w:val="00507AB7"/>
    <w:rsid w:val="00531F82"/>
    <w:rsid w:val="00536EBF"/>
    <w:rsid w:val="005824F8"/>
    <w:rsid w:val="0059201F"/>
    <w:rsid w:val="00592A16"/>
    <w:rsid w:val="005B4A99"/>
    <w:rsid w:val="005C7C07"/>
    <w:rsid w:val="00666CA8"/>
    <w:rsid w:val="0069637A"/>
    <w:rsid w:val="006E1049"/>
    <w:rsid w:val="00712158"/>
    <w:rsid w:val="00717A31"/>
    <w:rsid w:val="0072632B"/>
    <w:rsid w:val="007779CF"/>
    <w:rsid w:val="00780D8B"/>
    <w:rsid w:val="007B531A"/>
    <w:rsid w:val="007F23FA"/>
    <w:rsid w:val="00805DAA"/>
    <w:rsid w:val="00826ED0"/>
    <w:rsid w:val="00857C0F"/>
    <w:rsid w:val="00882EE0"/>
    <w:rsid w:val="008F2CC9"/>
    <w:rsid w:val="00914535"/>
    <w:rsid w:val="00942817"/>
    <w:rsid w:val="00944776"/>
    <w:rsid w:val="00950C5E"/>
    <w:rsid w:val="0096217E"/>
    <w:rsid w:val="009947DA"/>
    <w:rsid w:val="009B4B95"/>
    <w:rsid w:val="009F160D"/>
    <w:rsid w:val="009F1949"/>
    <w:rsid w:val="00A23250"/>
    <w:rsid w:val="00AA3763"/>
    <w:rsid w:val="00AC3B4D"/>
    <w:rsid w:val="00B252E8"/>
    <w:rsid w:val="00B42AE4"/>
    <w:rsid w:val="00B929D5"/>
    <w:rsid w:val="00BC3E85"/>
    <w:rsid w:val="00C257EA"/>
    <w:rsid w:val="00C323BE"/>
    <w:rsid w:val="00C5030A"/>
    <w:rsid w:val="00C661D8"/>
    <w:rsid w:val="00C750E6"/>
    <w:rsid w:val="00CC3775"/>
    <w:rsid w:val="00D1135B"/>
    <w:rsid w:val="00D2552B"/>
    <w:rsid w:val="00D63650"/>
    <w:rsid w:val="00DE449C"/>
    <w:rsid w:val="00DE7509"/>
    <w:rsid w:val="00E4637C"/>
    <w:rsid w:val="00EB11C7"/>
    <w:rsid w:val="00F27774"/>
    <w:rsid w:val="00F51FA8"/>
    <w:rsid w:val="00F5437E"/>
    <w:rsid w:val="00F5741D"/>
    <w:rsid w:val="00FC15DC"/>
    <w:rsid w:val="29D24745"/>
    <w:rsid w:val="3777522D"/>
    <w:rsid w:val="5FFEB75F"/>
    <w:rsid w:val="6B7A967F"/>
    <w:rsid w:val="7F4FEDC8"/>
    <w:rsid w:val="7F5FFDDB"/>
    <w:rsid w:val="7F639D46"/>
    <w:rsid w:val="8CE59EBE"/>
    <w:rsid w:val="A773CD5D"/>
    <w:rsid w:val="CEFE5552"/>
    <w:rsid w:val="D8370778"/>
    <w:rsid w:val="DC3EFBC5"/>
    <w:rsid w:val="EFDD6AA2"/>
    <w:rsid w:val="EFE3D2C1"/>
    <w:rsid w:val="F7F215D7"/>
    <w:rsid w:val="FBF374B5"/>
    <w:rsid w:val="FF3ECDDC"/>
    <w:rsid w:val="FFC93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160" w:lineRule="exact"/>
      <w:ind w:firstLine="200" w:firstLineChars="200"/>
      <w:jc w:val="both"/>
    </w:pPr>
    <w:rPr>
      <w:rFonts w:ascii="Times New Roman" w:hAnsi="Times New Roman" w:eastAsia="宋体" w:cs="Times New Roman"/>
      <w:kern w:val="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link w:val="30"/>
    <w:semiHidden/>
    <w:qFormat/>
    <w:uiPriority w:val="0"/>
  </w:style>
  <w:style w:type="paragraph" w:styleId="3">
    <w:name w:val="Salutation"/>
    <w:basedOn w:val="1"/>
    <w:next w:val="1"/>
    <w:link w:val="35"/>
    <w:qFormat/>
    <w:uiPriority w:val="0"/>
    <w:rPr>
      <w:rFonts w:ascii="仿宋_GB2312" w:eastAsia="仿宋_GB2312"/>
      <w:w w:val="99"/>
      <w:sz w:val="30"/>
      <w:szCs w:val="18"/>
    </w:rPr>
  </w:style>
  <w:style w:type="paragraph" w:styleId="4">
    <w:name w:val="Body Text"/>
    <w:basedOn w:val="1"/>
    <w:link w:val="33"/>
    <w:qFormat/>
    <w:uiPriority w:val="0"/>
    <w:rPr>
      <w:rFonts w:ascii="仿宋_GB2312" w:hAnsi="宋体" w:eastAsia="仿宋_GB2312"/>
      <w:sz w:val="28"/>
    </w:rPr>
  </w:style>
  <w:style w:type="paragraph" w:styleId="5">
    <w:name w:val="Body Text Indent"/>
    <w:basedOn w:val="1"/>
    <w:link w:val="34"/>
    <w:qFormat/>
    <w:uiPriority w:val="0"/>
    <w:pPr>
      <w:spacing w:before="312" w:beforeLines="100" w:line="400" w:lineRule="exact"/>
      <w:ind w:firstLine="560"/>
    </w:pPr>
    <w:rPr>
      <w:rFonts w:eastAsia="仿宋_GB2312"/>
      <w:sz w:val="28"/>
    </w:rPr>
  </w:style>
  <w:style w:type="paragraph" w:styleId="6">
    <w:name w:val="Date"/>
    <w:basedOn w:val="1"/>
    <w:next w:val="1"/>
    <w:link w:val="36"/>
    <w:qFormat/>
    <w:uiPriority w:val="0"/>
    <w:rPr>
      <w:rFonts w:ascii="宋体"/>
      <w:sz w:val="24"/>
    </w:rPr>
  </w:style>
  <w:style w:type="paragraph" w:styleId="7">
    <w:name w:val="Balloon Text"/>
    <w:basedOn w:val="1"/>
    <w:link w:val="38"/>
    <w:semiHidden/>
    <w:qFormat/>
    <w:uiPriority w:val="0"/>
    <w:rPr>
      <w:sz w:val="18"/>
      <w:szCs w:val="18"/>
    </w:rPr>
  </w:style>
  <w:style w:type="paragraph" w:styleId="8">
    <w:name w:val="footer"/>
    <w:basedOn w:val="1"/>
    <w:link w:val="32"/>
    <w:qFormat/>
    <w:uiPriority w:val="99"/>
    <w:pPr>
      <w:tabs>
        <w:tab w:val="center" w:pos="4153"/>
        <w:tab w:val="right" w:pos="8306"/>
      </w:tabs>
      <w:snapToGrid w:val="0"/>
    </w:pPr>
    <w:rPr>
      <w:sz w:val="18"/>
      <w:szCs w:val="18"/>
    </w:rPr>
  </w:style>
  <w:style w:type="paragraph" w:styleId="9">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pPr>
    <w:rPr>
      <w:sz w:val="18"/>
      <w:szCs w:val="18"/>
    </w:rPr>
  </w:style>
  <w:style w:type="paragraph" w:styleId="11">
    <w:name w:val="annotation subject"/>
    <w:basedOn w:val="2"/>
    <w:next w:val="2"/>
    <w:link w:val="37"/>
    <w:semiHidden/>
    <w:qFormat/>
    <w:uiPriority w:val="0"/>
    <w:rPr>
      <w:b/>
      <w:bCs/>
    </w:rPr>
  </w:style>
  <w:style w:type="table" w:styleId="13">
    <w:name w:val="Table Grid"/>
    <w:basedOn w:val="12"/>
    <w:qFormat/>
    <w:uiPriority w:val="0"/>
    <w:pPr>
      <w:widowControl w:val="0"/>
    </w:pPr>
    <w:rPr>
      <w:kern w:val="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unhideWhenUsed/>
    <w:qFormat/>
    <w:uiPriority w:val="99"/>
    <w:rPr>
      <w:color w:val="954F72"/>
      <w:u w:val="single"/>
    </w:rPr>
  </w:style>
  <w:style w:type="character" w:styleId="17">
    <w:name w:val="Hyperlink"/>
    <w:basedOn w:val="14"/>
    <w:unhideWhenUsed/>
    <w:qFormat/>
    <w:uiPriority w:val="99"/>
    <w:rPr>
      <w:color w:val="0563C1"/>
      <w:u w:val="single"/>
    </w:rPr>
  </w:style>
  <w:style w:type="character" w:styleId="18">
    <w:name w:val="annotation reference"/>
    <w:semiHidden/>
    <w:qFormat/>
    <w:uiPriority w:val="0"/>
    <w:rPr>
      <w:sz w:val="21"/>
      <w:szCs w:val="21"/>
    </w:rPr>
  </w:style>
  <w:style w:type="character" w:styleId="19">
    <w:name w:val="footnote reference"/>
    <w:semiHidden/>
    <w:qFormat/>
    <w:uiPriority w:val="0"/>
    <w:rPr>
      <w:vertAlign w:val="superscript"/>
    </w:rPr>
  </w:style>
  <w:style w:type="paragraph" w:customStyle="1" w:styleId="20">
    <w:name w:val="Char Char Char Char"/>
    <w:basedOn w:val="1"/>
    <w:qFormat/>
    <w:uiPriority w:val="0"/>
    <w:rPr>
      <w:rFonts w:ascii="Tahoma" w:hAnsi="Tahoma"/>
      <w:sz w:val="24"/>
    </w:rPr>
  </w:style>
  <w:style w:type="paragraph" w:customStyle="1" w:styleId="21">
    <w:name w:val="Char Char Char"/>
    <w:basedOn w:val="1"/>
    <w:qFormat/>
    <w:uiPriority w:val="0"/>
    <w:rPr>
      <w:rFonts w:ascii="Tahoma" w:hAnsi="Tahoma"/>
      <w:sz w:val="24"/>
    </w:rPr>
  </w:style>
  <w:style w:type="paragraph" w:customStyle="1" w:styleId="22">
    <w:name w:val="Char Char Char1 Char Char Char Char"/>
    <w:basedOn w:val="1"/>
    <w:qFormat/>
    <w:uiPriority w:val="0"/>
    <w:rPr>
      <w:rFonts w:ascii="Tahoma" w:hAnsi="Tahoma"/>
      <w:sz w:val="24"/>
    </w:rPr>
  </w:style>
  <w:style w:type="paragraph" w:customStyle="1" w:styleId="23">
    <w:name w:val="Char Char Char Char1"/>
    <w:basedOn w:val="1"/>
    <w:qFormat/>
    <w:uiPriority w:val="0"/>
    <w:rPr>
      <w:rFonts w:ascii="Tahoma" w:hAnsi="Tahoma"/>
      <w:sz w:val="24"/>
    </w:rPr>
  </w:style>
  <w:style w:type="character" w:customStyle="1" w:styleId="24">
    <w:name w:val="Char Char1"/>
    <w:semiHidden/>
    <w:qFormat/>
    <w:locked/>
    <w:uiPriority w:val="0"/>
    <w:rPr>
      <w:sz w:val="21"/>
      <w:szCs w:val="21"/>
    </w:rPr>
  </w:style>
  <w:style w:type="paragraph" w:customStyle="1" w:styleId="25">
    <w:name w:val="Style"/>
    <w:basedOn w:val="1"/>
    <w:qFormat/>
    <w:uiPriority w:val="0"/>
    <w:rPr>
      <w:rFonts w:ascii="Tahoma" w:hAnsi="Tahoma" w:cs="Tahoma"/>
      <w:sz w:val="24"/>
    </w:rPr>
  </w:style>
  <w:style w:type="paragraph" w:customStyle="1" w:styleId="26">
    <w:name w:val="Char Char Char1"/>
    <w:basedOn w:val="1"/>
    <w:qFormat/>
    <w:uiPriority w:val="0"/>
    <w:rPr>
      <w:rFonts w:ascii="Tahoma" w:hAnsi="Tahoma" w:cs="Tahoma"/>
      <w:sz w:val="24"/>
    </w:rPr>
  </w:style>
  <w:style w:type="character" w:customStyle="1" w:styleId="27">
    <w:name w:val="Char Char4"/>
    <w:qFormat/>
    <w:locked/>
    <w:uiPriority w:val="0"/>
    <w:rPr>
      <w:kern w:val="2"/>
      <w:sz w:val="18"/>
      <w:szCs w:val="18"/>
    </w:rPr>
  </w:style>
  <w:style w:type="paragraph" w:customStyle="1" w:styleId="28">
    <w:name w:val="Char Char Char1 Char Char Char Char1"/>
    <w:basedOn w:val="1"/>
    <w:qFormat/>
    <w:uiPriority w:val="0"/>
    <w:rPr>
      <w:rFonts w:ascii="Tahoma" w:hAnsi="Tahoma" w:cs="Tahoma"/>
      <w:sz w:val="24"/>
    </w:rPr>
  </w:style>
  <w:style w:type="character" w:customStyle="1" w:styleId="29">
    <w:name w:val="脚注文本 Char"/>
    <w:basedOn w:val="14"/>
    <w:link w:val="10"/>
    <w:semiHidden/>
    <w:qFormat/>
    <w:uiPriority w:val="0"/>
    <w:rPr>
      <w:rFonts w:ascii="Times New Roman" w:hAnsi="Times New Roman" w:eastAsia="宋体" w:cs="Times New Roman"/>
      <w:sz w:val="18"/>
      <w:szCs w:val="18"/>
    </w:rPr>
  </w:style>
  <w:style w:type="character" w:customStyle="1" w:styleId="30">
    <w:name w:val="批注文字 Char"/>
    <w:link w:val="2"/>
    <w:semiHidden/>
    <w:qFormat/>
    <w:uiPriority w:val="0"/>
    <w:rPr>
      <w:rFonts w:ascii="Times New Roman" w:hAnsi="Times New Roman" w:eastAsia="宋体" w:cs="Times New Roman"/>
      <w:szCs w:val="24"/>
    </w:rPr>
  </w:style>
  <w:style w:type="character" w:customStyle="1" w:styleId="31">
    <w:name w:val="页眉 Char"/>
    <w:link w:val="9"/>
    <w:qFormat/>
    <w:uiPriority w:val="0"/>
    <w:rPr>
      <w:rFonts w:ascii="Times New Roman" w:hAnsi="Times New Roman" w:eastAsia="宋体" w:cs="Times New Roman"/>
      <w:sz w:val="18"/>
      <w:szCs w:val="18"/>
    </w:rPr>
  </w:style>
  <w:style w:type="character" w:customStyle="1" w:styleId="32">
    <w:name w:val="页脚 Char"/>
    <w:link w:val="8"/>
    <w:qFormat/>
    <w:uiPriority w:val="99"/>
    <w:rPr>
      <w:rFonts w:ascii="Times New Roman" w:hAnsi="Times New Roman" w:eastAsia="宋体" w:cs="Times New Roman"/>
      <w:sz w:val="18"/>
      <w:szCs w:val="18"/>
    </w:rPr>
  </w:style>
  <w:style w:type="character" w:customStyle="1" w:styleId="33">
    <w:name w:val="正文文本 Char"/>
    <w:link w:val="4"/>
    <w:qFormat/>
    <w:uiPriority w:val="0"/>
    <w:rPr>
      <w:rFonts w:ascii="仿宋_GB2312" w:hAnsi="宋体" w:eastAsia="仿宋_GB2312" w:cs="Times New Roman"/>
      <w:sz w:val="28"/>
      <w:szCs w:val="24"/>
    </w:rPr>
  </w:style>
  <w:style w:type="character" w:customStyle="1" w:styleId="34">
    <w:name w:val="正文文本缩进 Char"/>
    <w:link w:val="5"/>
    <w:qFormat/>
    <w:uiPriority w:val="0"/>
    <w:rPr>
      <w:rFonts w:ascii="Times New Roman" w:hAnsi="Times New Roman" w:eastAsia="仿宋_GB2312" w:cs="Times New Roman"/>
      <w:sz w:val="28"/>
      <w:szCs w:val="24"/>
    </w:rPr>
  </w:style>
  <w:style w:type="character" w:customStyle="1" w:styleId="35">
    <w:name w:val="称呼 Char"/>
    <w:link w:val="3"/>
    <w:qFormat/>
    <w:uiPriority w:val="0"/>
    <w:rPr>
      <w:rFonts w:ascii="仿宋_GB2312" w:hAnsi="Times New Roman" w:eastAsia="仿宋_GB2312" w:cs="Times New Roman"/>
      <w:w w:val="99"/>
      <w:sz w:val="30"/>
      <w:szCs w:val="18"/>
    </w:rPr>
  </w:style>
  <w:style w:type="character" w:customStyle="1" w:styleId="36">
    <w:name w:val="日期 Char"/>
    <w:link w:val="6"/>
    <w:qFormat/>
    <w:uiPriority w:val="0"/>
    <w:rPr>
      <w:rFonts w:ascii="宋体" w:hAnsi="Times New Roman" w:eastAsia="宋体" w:cs="Times New Roman"/>
      <w:sz w:val="24"/>
      <w:szCs w:val="20"/>
    </w:rPr>
  </w:style>
  <w:style w:type="character" w:customStyle="1" w:styleId="37">
    <w:name w:val="批注主题 Char"/>
    <w:link w:val="11"/>
    <w:semiHidden/>
    <w:qFormat/>
    <w:uiPriority w:val="0"/>
    <w:rPr>
      <w:rFonts w:ascii="Times New Roman" w:hAnsi="Times New Roman" w:eastAsia="宋体" w:cs="Times New Roman"/>
      <w:b/>
      <w:bCs/>
      <w:szCs w:val="24"/>
    </w:rPr>
  </w:style>
  <w:style w:type="character" w:customStyle="1" w:styleId="38">
    <w:name w:val="批注框文本 Char"/>
    <w:link w:val="7"/>
    <w:semiHidden/>
    <w:qFormat/>
    <w:uiPriority w:val="0"/>
    <w:rPr>
      <w:rFonts w:ascii="Times New Roman" w:hAnsi="Times New Roman" w:eastAsia="宋体" w:cs="Times New Roman"/>
      <w:sz w:val="18"/>
      <w:szCs w:val="18"/>
    </w:rPr>
  </w:style>
  <w:style w:type="paragraph" w:customStyle="1" w:styleId="39">
    <w:name w:val="font5"/>
    <w:basedOn w:val="1"/>
    <w:qFormat/>
    <w:uiPriority w:val="0"/>
    <w:pPr>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40">
    <w:name w:val="font6"/>
    <w:basedOn w:val="1"/>
    <w:qFormat/>
    <w:uiPriority w:val="0"/>
    <w:pPr>
      <w:spacing w:before="100" w:beforeAutospacing="1" w:after="100" w:afterAutospacing="1" w:line="240" w:lineRule="auto"/>
      <w:ind w:firstLine="0" w:firstLineChars="0"/>
      <w:jc w:val="left"/>
    </w:pPr>
    <w:rPr>
      <w:rFonts w:ascii="宋体" w:hAnsi="宋体" w:cs="宋体"/>
      <w:color w:val="000000"/>
      <w:kern w:val="0"/>
      <w:sz w:val="16"/>
      <w:szCs w:val="16"/>
    </w:rPr>
  </w:style>
  <w:style w:type="paragraph" w:customStyle="1" w:styleId="41">
    <w:name w:val="font7"/>
    <w:basedOn w:val="1"/>
    <w:qFormat/>
    <w:uiPriority w:val="0"/>
    <w:pP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2">
    <w:name w:val="font8"/>
    <w:basedOn w:val="1"/>
    <w:qFormat/>
    <w:uiPriority w:val="0"/>
    <w:pPr>
      <w:spacing w:before="100" w:beforeAutospacing="1" w:after="100" w:afterAutospacing="1" w:line="240" w:lineRule="auto"/>
      <w:ind w:firstLine="0" w:firstLineChars="0"/>
      <w:jc w:val="left"/>
    </w:pPr>
    <w:rPr>
      <w:rFonts w:ascii="宋体" w:hAnsi="宋体" w:cs="宋体"/>
      <w:color w:val="000000"/>
      <w:kern w:val="0"/>
      <w:sz w:val="16"/>
      <w:szCs w:val="16"/>
    </w:rPr>
  </w:style>
  <w:style w:type="paragraph" w:customStyle="1" w:styleId="43">
    <w:name w:val="font9"/>
    <w:basedOn w:val="1"/>
    <w:qFormat/>
    <w:uiPriority w:val="0"/>
    <w:pPr>
      <w:spacing w:before="100" w:beforeAutospacing="1" w:after="100" w:afterAutospacing="1" w:line="240" w:lineRule="auto"/>
      <w:ind w:firstLine="0" w:firstLineChars="0"/>
      <w:jc w:val="left"/>
    </w:pPr>
    <w:rPr>
      <w:rFonts w:ascii="宋体" w:hAnsi="宋体" w:cs="宋体"/>
      <w:color w:val="000000"/>
      <w:kern w:val="0"/>
      <w:sz w:val="16"/>
      <w:szCs w:val="16"/>
    </w:rPr>
  </w:style>
  <w:style w:type="paragraph" w:customStyle="1" w:styleId="44">
    <w:name w:val="font10"/>
    <w:basedOn w:val="1"/>
    <w:qFormat/>
    <w:uiPriority w:val="0"/>
    <w:pPr>
      <w:spacing w:before="100" w:beforeAutospacing="1" w:after="100" w:afterAutospacing="1" w:line="240" w:lineRule="auto"/>
      <w:ind w:firstLine="0" w:firstLineChars="0"/>
      <w:jc w:val="left"/>
    </w:pPr>
    <w:rPr>
      <w:rFonts w:ascii="宋体" w:hAnsi="宋体" w:cs="宋体"/>
      <w:color w:val="FF0000"/>
      <w:kern w:val="0"/>
      <w:sz w:val="16"/>
      <w:szCs w:val="16"/>
    </w:rPr>
  </w:style>
  <w:style w:type="paragraph" w:customStyle="1" w:styleId="45">
    <w:name w:val="xl65"/>
    <w:basedOn w:val="1"/>
    <w:qFormat/>
    <w:uiPriority w:val="0"/>
    <w:pP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6">
    <w:name w:val="xl66"/>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7">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8">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49">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宋体" w:hAnsi="宋体" w:cs="宋体"/>
      <w:kern w:val="0"/>
      <w:sz w:val="16"/>
      <w:szCs w:val="16"/>
    </w:rPr>
  </w:style>
  <w:style w:type="paragraph" w:customStyle="1" w:styleId="50">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51">
    <w:name w:val="xl71"/>
    <w:basedOn w:val="1"/>
    <w:qFormat/>
    <w:uiPriority w:val="0"/>
    <w:pP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52">
    <w:name w:val="xl72"/>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top"/>
    </w:pPr>
    <w:rPr>
      <w:rFonts w:ascii="宋体" w:hAnsi="宋体" w:cs="宋体"/>
      <w:kern w:val="0"/>
      <w:sz w:val="16"/>
      <w:szCs w:val="16"/>
    </w:rPr>
  </w:style>
  <w:style w:type="paragraph" w:customStyle="1" w:styleId="5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54">
    <w:name w:val="xl74"/>
    <w:basedOn w:val="1"/>
    <w:qFormat/>
    <w:uiPriority w:val="0"/>
    <w:pPr>
      <w:spacing w:before="100" w:beforeAutospacing="1" w:after="100" w:afterAutospacing="1" w:line="240" w:lineRule="auto"/>
      <w:ind w:firstLine="0" w:firstLineChars="0"/>
      <w:jc w:val="center"/>
    </w:pPr>
    <w:rPr>
      <w:rFonts w:ascii="宋体" w:hAnsi="宋体" w:cs="宋体"/>
      <w:kern w:val="0"/>
      <w:sz w:val="16"/>
      <w:szCs w:val="16"/>
    </w:rPr>
  </w:style>
  <w:style w:type="paragraph" w:customStyle="1" w:styleId="5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宋体" w:hAnsi="宋体" w:cs="宋体"/>
      <w:kern w:val="0"/>
      <w:sz w:val="16"/>
      <w:szCs w:val="16"/>
    </w:rPr>
  </w:style>
  <w:style w:type="paragraph" w:customStyle="1" w:styleId="56">
    <w:name w:val="xl76"/>
    <w:basedOn w:val="1"/>
    <w:qFormat/>
    <w:uiPriority w:val="0"/>
    <w:pPr>
      <w:spacing w:before="100" w:beforeAutospacing="1" w:after="100" w:afterAutospacing="1" w:line="240" w:lineRule="auto"/>
      <w:ind w:firstLine="0" w:firstLineChars="0"/>
      <w:jc w:val="left"/>
      <w:textAlignment w:val="top"/>
    </w:pPr>
    <w:rPr>
      <w:rFonts w:ascii="宋体" w:hAnsi="宋体" w:cs="宋体"/>
      <w:kern w:val="0"/>
      <w:sz w:val="16"/>
      <w:szCs w:val="16"/>
    </w:rPr>
  </w:style>
  <w:style w:type="paragraph" w:customStyle="1" w:styleId="57">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宋体" w:hAnsi="宋体" w:cs="宋体"/>
      <w:kern w:val="0"/>
      <w:sz w:val="16"/>
      <w:szCs w:val="16"/>
    </w:rPr>
  </w:style>
  <w:style w:type="paragraph" w:customStyle="1" w:styleId="5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宋体" w:hAnsi="宋体" w:cs="宋体"/>
      <w:color w:val="FF0000"/>
      <w:kern w:val="0"/>
      <w:sz w:val="16"/>
      <w:szCs w:val="16"/>
    </w:rPr>
  </w:style>
  <w:style w:type="paragraph" w:customStyle="1" w:styleId="59">
    <w:name w:val="xl7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6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6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62">
    <w:name w:val="xl82"/>
    <w:basedOn w:val="1"/>
    <w:qFormat/>
    <w:uiPriority w:val="0"/>
    <w:pP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63">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仿宋_GB2312" w:hAnsi="宋体" w:eastAsia="仿宋_GB2312" w:cs="宋体"/>
      <w:b/>
      <w:bCs/>
      <w:color w:val="000000"/>
      <w:kern w:val="0"/>
      <w:sz w:val="16"/>
      <w:szCs w:val="16"/>
    </w:rPr>
  </w:style>
  <w:style w:type="paragraph" w:customStyle="1" w:styleId="64">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eastAsia="仿宋_GB2312" w:cs="宋体"/>
      <w:b/>
      <w:bCs/>
      <w:color w:val="000000"/>
      <w:kern w:val="0"/>
      <w:sz w:val="16"/>
      <w:szCs w:val="16"/>
    </w:rPr>
  </w:style>
  <w:style w:type="paragraph" w:customStyle="1" w:styleId="65">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top"/>
    </w:pPr>
    <w:rPr>
      <w:rFonts w:ascii="仿宋_GB2312" w:hAnsi="宋体" w:eastAsia="仿宋_GB2312" w:cs="宋体"/>
      <w:b/>
      <w:bCs/>
      <w:color w:val="000000"/>
      <w:kern w:val="0"/>
      <w:sz w:val="16"/>
      <w:szCs w:val="16"/>
    </w:rPr>
  </w:style>
  <w:style w:type="paragraph" w:customStyle="1" w:styleId="6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top"/>
    </w:pPr>
    <w:rPr>
      <w:rFonts w:ascii="仿宋_GB2312" w:hAnsi="宋体" w:eastAsia="仿宋_GB2312" w:cs="宋体"/>
      <w:b/>
      <w:bCs/>
      <w:color w:val="000000"/>
      <w:kern w:val="0"/>
      <w:sz w:val="16"/>
      <w:szCs w:val="16"/>
    </w:rPr>
  </w:style>
  <w:style w:type="paragraph" w:customStyle="1" w:styleId="6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仿宋_GB2312" w:hAnsi="宋体" w:eastAsia="仿宋_GB2312" w:cs="宋体"/>
      <w:b/>
      <w:bCs/>
      <w:color w:val="000000"/>
      <w:kern w:val="0"/>
      <w:sz w:val="16"/>
      <w:szCs w:val="16"/>
    </w:rPr>
  </w:style>
  <w:style w:type="paragraph" w:customStyle="1" w:styleId="68">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仿宋_GB2312" w:hAnsi="宋体" w:eastAsia="仿宋_GB2312" w:cs="宋体"/>
      <w:b/>
      <w:bCs/>
      <w:color w:val="000000"/>
      <w:kern w:val="0"/>
      <w:sz w:val="16"/>
      <w:szCs w:val="16"/>
    </w:rPr>
  </w:style>
  <w:style w:type="paragraph" w:customStyle="1" w:styleId="69">
    <w:name w:val="xl89"/>
    <w:basedOn w:val="1"/>
    <w:qFormat/>
    <w:uiPriority w:val="0"/>
    <w:pPr>
      <w:pBdr>
        <w:top w:val="single" w:color="auto" w:sz="4" w:space="0"/>
        <w:left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 w:type="paragraph" w:customStyle="1" w:styleId="70">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15711</Words>
  <Characters>89559</Characters>
  <Lines>1</Lines>
  <Paragraphs>1</Paragraphs>
  <TotalTime>22</TotalTime>
  <ScaleCrop>false</ScaleCrop>
  <LinksUpToDate>false</LinksUpToDate>
  <CharactersWithSpaces>105060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2019-06-29T16:52:00Z</dcterms:created>
  <dc:creator>张彬(处室承办)</dc:creator>
  <cp:lastModifiedBy>tjj</cp:lastModifiedBy>
  <cp:lastPrinted>2019-07-10T22:53:00Z</cp:lastPrinted>
  <dcterms:modified xsi:type="dcterms:W3CDTF">2021-12-15T11:12:27Z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