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7F4" w:rsidRPr="002C57F4" w:rsidRDefault="002C57F4" w:rsidP="002C57F4">
      <w:pPr>
        <w:spacing w:beforeLines="100" w:before="312" w:afterLines="100" w:after="312"/>
        <w:jc w:val="left"/>
        <w:rPr>
          <w:rFonts w:ascii="仿宋_GB2312" w:eastAsia="仿宋_GB2312" w:hAnsi="宋体" w:hint="eastAsia"/>
          <w:color w:val="000000"/>
          <w:spacing w:val="-28"/>
          <w:sz w:val="32"/>
          <w:szCs w:val="32"/>
        </w:rPr>
      </w:pPr>
      <w:r w:rsidRPr="002C57F4">
        <w:rPr>
          <w:rFonts w:ascii="仿宋_GB2312" w:eastAsia="仿宋_GB2312" w:hAnsi="宋体" w:hint="eastAsia"/>
          <w:color w:val="000000"/>
          <w:spacing w:val="-28"/>
          <w:sz w:val="32"/>
          <w:szCs w:val="32"/>
        </w:rPr>
        <w:t>附件3</w:t>
      </w:r>
    </w:p>
    <w:p w:rsidR="00447BF6" w:rsidRDefault="00ED4DB1" w:rsidP="00ED4DB1">
      <w:pPr>
        <w:spacing w:beforeLines="100" w:before="312" w:afterLines="100" w:after="312"/>
        <w:jc w:val="center"/>
        <w:rPr>
          <w:rFonts w:ascii="方正小标宋简体" w:eastAsia="方正小标宋简体" w:hAnsi="宋体"/>
          <w:color w:val="000000"/>
          <w:spacing w:val="-28"/>
          <w:sz w:val="32"/>
          <w:szCs w:val="32"/>
        </w:rPr>
      </w:pPr>
      <w:bookmarkStart w:id="0" w:name="_GoBack"/>
      <w:bookmarkEnd w:id="0"/>
      <w:r w:rsidRPr="00ED4DB1">
        <w:rPr>
          <w:rFonts w:ascii="方正小标宋简体" w:eastAsia="方正小标宋简体" w:hAnsi="宋体" w:hint="eastAsia"/>
          <w:color w:val="000000"/>
          <w:spacing w:val="-28"/>
          <w:sz w:val="32"/>
          <w:szCs w:val="32"/>
        </w:rPr>
        <w:t>宁夏资源环境综合统计报表制度</w:t>
      </w:r>
    </w:p>
    <w:p w:rsidR="001B0E2A" w:rsidRPr="001B0E2A" w:rsidRDefault="001B0E2A" w:rsidP="00ED4DB1">
      <w:pPr>
        <w:spacing w:beforeLines="100" w:before="312" w:afterLines="100" w:after="312"/>
        <w:jc w:val="center"/>
        <w:rPr>
          <w:rFonts w:ascii="宋体" w:hAnsi="宋体"/>
          <w:color w:val="000000"/>
          <w:szCs w:val="21"/>
        </w:rPr>
      </w:pPr>
      <w:r w:rsidRPr="001B0E2A">
        <w:rPr>
          <w:rFonts w:ascii="宋体" w:hAnsi="宋体" w:hint="eastAsia"/>
          <w:color w:val="000000"/>
          <w:szCs w:val="21"/>
        </w:rPr>
        <w:t>（2020年统计</w:t>
      </w:r>
      <w:r w:rsidRPr="001B0E2A">
        <w:rPr>
          <w:rFonts w:ascii="宋体" w:hAnsi="宋体"/>
          <w:color w:val="000000"/>
          <w:szCs w:val="21"/>
        </w:rPr>
        <w:t>年报</w:t>
      </w:r>
      <w:r w:rsidRPr="001B0E2A">
        <w:rPr>
          <w:rFonts w:ascii="宋体" w:hAnsi="宋体" w:hint="eastAsia"/>
          <w:color w:val="000000"/>
          <w:szCs w:val="21"/>
        </w:rPr>
        <w:t>）</w:t>
      </w:r>
    </w:p>
    <w:p w:rsidR="00447BF6" w:rsidRPr="009A7E78" w:rsidRDefault="00447BF6" w:rsidP="00447BF6">
      <w:pPr>
        <w:wordWrap w:val="0"/>
        <w:spacing w:line="360" w:lineRule="atLeast"/>
        <w:ind w:firstLineChars="200" w:firstLine="422"/>
      </w:pPr>
      <w:r w:rsidRPr="009A7E78">
        <w:rPr>
          <w:rFonts w:hint="eastAsia"/>
          <w:b/>
          <w:bCs/>
          <w:bdr w:val="none" w:sz="0" w:space="0" w:color="auto" w:frame="1"/>
        </w:rPr>
        <w:t>一、调查目的</w:t>
      </w:r>
    </w:p>
    <w:p w:rsidR="00355A25" w:rsidRDefault="00355A25" w:rsidP="001B0E2A">
      <w:pPr>
        <w:pStyle w:val="a3"/>
        <w:adjustRightInd w:val="0"/>
        <w:snapToGrid w:val="0"/>
        <w:spacing w:line="240" w:lineRule="auto"/>
        <w:ind w:firstLineChars="200" w:firstLine="420"/>
        <w:rPr>
          <w:rFonts w:ascii="宋体" w:hAnsi="宋体"/>
          <w:color w:val="000000"/>
          <w:sz w:val="21"/>
          <w:szCs w:val="21"/>
        </w:rPr>
      </w:pPr>
      <w:r>
        <w:rPr>
          <w:rFonts w:ascii="宋体" w:hAnsi="宋体" w:hint="eastAsia"/>
          <w:color w:val="000000"/>
          <w:sz w:val="21"/>
          <w:szCs w:val="21"/>
        </w:rPr>
        <w:t>为了全面反映我区资源环境的整体状况，收集资源环境领域的综合统计资料，满足我区实施可持续发展战略和制定资源环境宏观调控政策的需要，依照《中华人民共和国统计法》及其《实施条例》，特制定本综合统计报表制度。</w:t>
      </w:r>
    </w:p>
    <w:p w:rsidR="00447BF6" w:rsidRPr="009A7E78" w:rsidRDefault="00447BF6" w:rsidP="00447BF6">
      <w:pPr>
        <w:ind w:firstLineChars="200" w:firstLine="422"/>
      </w:pPr>
      <w:r w:rsidRPr="009A7E78">
        <w:rPr>
          <w:rFonts w:hint="eastAsia"/>
          <w:b/>
          <w:bCs/>
          <w:bdr w:val="none" w:sz="0" w:space="0" w:color="auto" w:frame="1"/>
        </w:rPr>
        <w:t>二、调查内容</w:t>
      </w:r>
    </w:p>
    <w:p w:rsidR="00355A25" w:rsidRDefault="00A87D6B" w:rsidP="00447BF6">
      <w:pPr>
        <w:ind w:firstLineChars="200" w:firstLine="420"/>
        <w:rPr>
          <w:rFonts w:ascii="宋体" w:hAnsi="宋体"/>
          <w:color w:val="000000"/>
          <w:szCs w:val="21"/>
        </w:rPr>
      </w:pPr>
      <w:r w:rsidRPr="00391DF8">
        <w:rPr>
          <w:rFonts w:ascii="宋体" w:hAnsi="宋体"/>
          <w:color w:val="000000"/>
          <w:szCs w:val="21"/>
        </w:rPr>
        <w:t>本制度是</w:t>
      </w:r>
      <w:r>
        <w:rPr>
          <w:rFonts w:ascii="宋体" w:hAnsi="宋体" w:hint="eastAsia"/>
          <w:color w:val="000000"/>
          <w:szCs w:val="21"/>
        </w:rPr>
        <w:t>宁夏地方</w:t>
      </w:r>
      <w:r w:rsidRPr="00391DF8">
        <w:rPr>
          <w:rFonts w:ascii="宋体" w:hAnsi="宋体"/>
          <w:color w:val="000000"/>
          <w:szCs w:val="21"/>
        </w:rPr>
        <w:t>统计调查</w:t>
      </w:r>
      <w:r w:rsidRPr="00391DF8">
        <w:rPr>
          <w:rFonts w:ascii="宋体" w:hAnsi="宋体" w:hint="eastAsia"/>
          <w:color w:val="000000"/>
          <w:szCs w:val="21"/>
        </w:rPr>
        <w:t>制度</w:t>
      </w:r>
      <w:r w:rsidRPr="00391DF8">
        <w:rPr>
          <w:rFonts w:ascii="宋体" w:hAnsi="宋体"/>
          <w:color w:val="000000"/>
          <w:szCs w:val="21"/>
        </w:rPr>
        <w:t>的</w:t>
      </w:r>
      <w:r w:rsidRPr="00391DF8">
        <w:rPr>
          <w:rFonts w:ascii="宋体" w:hAnsi="宋体" w:hint="eastAsia"/>
          <w:color w:val="000000"/>
          <w:szCs w:val="21"/>
        </w:rPr>
        <w:t>重要组成部分</w:t>
      </w:r>
      <w:r w:rsidRPr="00391DF8">
        <w:rPr>
          <w:rFonts w:ascii="宋体" w:hAnsi="宋体"/>
          <w:color w:val="000000"/>
          <w:szCs w:val="21"/>
        </w:rPr>
        <w:t>，是</w:t>
      </w:r>
      <w:r>
        <w:rPr>
          <w:rFonts w:ascii="宋体" w:hAnsi="宋体" w:hint="eastAsia"/>
          <w:color w:val="000000"/>
          <w:szCs w:val="21"/>
        </w:rPr>
        <w:t>宁夏</w:t>
      </w:r>
      <w:r w:rsidRPr="00391DF8">
        <w:rPr>
          <w:rFonts w:ascii="宋体" w:hAnsi="宋体"/>
          <w:color w:val="000000"/>
          <w:szCs w:val="21"/>
        </w:rPr>
        <w:t>统计局对</w:t>
      </w:r>
      <w:r w:rsidRPr="00391DF8">
        <w:rPr>
          <w:rFonts w:ascii="宋体" w:hAnsi="宋体" w:hint="eastAsia"/>
          <w:color w:val="000000"/>
          <w:szCs w:val="21"/>
        </w:rPr>
        <w:t>全区各</w:t>
      </w:r>
      <w:r w:rsidRPr="00391DF8">
        <w:rPr>
          <w:rFonts w:ascii="宋体" w:hAnsi="宋体"/>
          <w:color w:val="000000"/>
          <w:szCs w:val="21"/>
        </w:rPr>
        <w:t>有关部</w:t>
      </w:r>
      <w:r w:rsidRPr="00391DF8">
        <w:rPr>
          <w:rFonts w:ascii="宋体" w:hAnsi="宋体" w:hint="eastAsia"/>
          <w:color w:val="000000"/>
          <w:szCs w:val="21"/>
        </w:rPr>
        <w:t>门和研究机构</w:t>
      </w:r>
      <w:r w:rsidRPr="00391DF8">
        <w:rPr>
          <w:rFonts w:ascii="宋体" w:hAnsi="宋体"/>
          <w:color w:val="000000"/>
          <w:szCs w:val="21"/>
        </w:rPr>
        <w:t>的综合要求</w:t>
      </w:r>
      <w:r>
        <w:rPr>
          <w:rFonts w:ascii="宋体" w:hAnsi="宋体" w:hint="eastAsia"/>
          <w:color w:val="000000"/>
          <w:szCs w:val="21"/>
        </w:rPr>
        <w:t>，</w:t>
      </w:r>
      <w:r w:rsidRPr="00391DF8">
        <w:rPr>
          <w:rFonts w:ascii="宋体" w:hAnsi="宋体"/>
          <w:color w:val="000000"/>
          <w:szCs w:val="21"/>
        </w:rPr>
        <w:t>规定报</w:t>
      </w:r>
      <w:r w:rsidRPr="00391DF8">
        <w:rPr>
          <w:rFonts w:ascii="宋体" w:hAnsi="宋体" w:hint="eastAsia"/>
          <w:color w:val="000000"/>
          <w:szCs w:val="21"/>
        </w:rPr>
        <w:t>送</w:t>
      </w:r>
      <w:r w:rsidRPr="00391DF8">
        <w:rPr>
          <w:rFonts w:ascii="宋体" w:hAnsi="宋体"/>
          <w:color w:val="000000"/>
          <w:szCs w:val="21"/>
        </w:rPr>
        <w:t>的各类统计报表均属政府</w:t>
      </w:r>
      <w:r w:rsidRPr="00391DF8">
        <w:rPr>
          <w:rFonts w:ascii="宋体" w:hAnsi="宋体" w:hint="eastAsia"/>
          <w:color w:val="000000"/>
          <w:szCs w:val="21"/>
        </w:rPr>
        <w:t>综合</w:t>
      </w:r>
      <w:r w:rsidRPr="00391DF8">
        <w:rPr>
          <w:rFonts w:ascii="宋体" w:hAnsi="宋体"/>
          <w:color w:val="000000"/>
          <w:szCs w:val="21"/>
        </w:rPr>
        <w:t>统计</w:t>
      </w:r>
      <w:r w:rsidRPr="00391DF8">
        <w:rPr>
          <w:rFonts w:ascii="宋体" w:hAnsi="宋体" w:hint="eastAsia"/>
          <w:color w:val="000000"/>
          <w:szCs w:val="21"/>
        </w:rPr>
        <w:t>和部门统计的调查内容。</w:t>
      </w:r>
      <w:r w:rsidR="00355A25">
        <w:rPr>
          <w:rFonts w:ascii="宋体" w:hAnsi="宋体" w:hint="eastAsia"/>
          <w:color w:val="000000"/>
          <w:szCs w:val="21"/>
        </w:rPr>
        <w:t>本制度综合了各有关部门统计报表制度中与</w:t>
      </w:r>
      <w:r w:rsidR="00A367C9">
        <w:rPr>
          <w:rFonts w:ascii="宋体" w:hAnsi="宋体" w:hint="eastAsia"/>
          <w:color w:val="000000"/>
          <w:szCs w:val="21"/>
        </w:rPr>
        <w:t>资源</w:t>
      </w:r>
      <w:r w:rsidR="00355A25">
        <w:rPr>
          <w:rFonts w:ascii="宋体" w:hAnsi="宋体" w:hint="eastAsia"/>
          <w:color w:val="000000"/>
          <w:szCs w:val="21"/>
        </w:rPr>
        <w:t>环境有关的报表，内容涉及水环境、大气环境、固体废物、</w:t>
      </w:r>
      <w:r w:rsidR="00137745">
        <w:rPr>
          <w:rFonts w:ascii="宋体" w:hAnsi="宋体" w:hint="eastAsia"/>
          <w:color w:val="000000"/>
          <w:szCs w:val="21"/>
        </w:rPr>
        <w:t>生态环境、自然灾害、环境污染治理投资、城市环境、农村环境等方面</w:t>
      </w:r>
      <w:r w:rsidR="00355A25">
        <w:rPr>
          <w:rFonts w:ascii="宋体" w:hAnsi="宋体" w:hint="eastAsia"/>
          <w:color w:val="000000"/>
          <w:szCs w:val="21"/>
        </w:rPr>
        <w:t>。</w:t>
      </w:r>
    </w:p>
    <w:p w:rsidR="00447BF6" w:rsidRPr="009A7E78" w:rsidRDefault="00447BF6" w:rsidP="00447BF6">
      <w:pPr>
        <w:ind w:firstLineChars="200" w:firstLine="422"/>
      </w:pPr>
      <w:r w:rsidRPr="009A7E78">
        <w:rPr>
          <w:rFonts w:hint="eastAsia"/>
          <w:b/>
          <w:bCs/>
          <w:bdr w:val="none" w:sz="0" w:space="0" w:color="auto" w:frame="1"/>
        </w:rPr>
        <w:t>三、调查对象及范围</w:t>
      </w:r>
    </w:p>
    <w:p w:rsidR="009D772E" w:rsidRPr="00355A25" w:rsidRDefault="009D772E" w:rsidP="00447BF6">
      <w:pPr>
        <w:ind w:firstLineChars="200" w:firstLine="420"/>
        <w:rPr>
          <w:rFonts w:ascii="宋体" w:hAnsi="宋体"/>
          <w:color w:val="000000"/>
          <w:szCs w:val="21"/>
        </w:rPr>
      </w:pPr>
      <w:r>
        <w:rPr>
          <w:rFonts w:ascii="宋体" w:hAnsi="宋体" w:hint="eastAsia"/>
          <w:color w:val="000000"/>
          <w:szCs w:val="21"/>
        </w:rPr>
        <w:t>调查</w:t>
      </w:r>
      <w:r w:rsidR="004947D2">
        <w:rPr>
          <w:rFonts w:ascii="宋体" w:hAnsi="宋体"/>
          <w:color w:val="000000"/>
          <w:szCs w:val="21"/>
        </w:rPr>
        <w:t>范围是宁夏全区范围</w:t>
      </w:r>
      <w:r w:rsidR="001B0E2A">
        <w:rPr>
          <w:rFonts w:ascii="宋体" w:hAnsi="宋体" w:hint="eastAsia"/>
          <w:color w:val="000000"/>
          <w:szCs w:val="21"/>
        </w:rPr>
        <w:t>。调查</w:t>
      </w:r>
      <w:r w:rsidR="001B0E2A">
        <w:rPr>
          <w:rFonts w:ascii="宋体" w:hAnsi="宋体"/>
          <w:color w:val="000000"/>
          <w:szCs w:val="21"/>
        </w:rPr>
        <w:t>对象是</w:t>
      </w:r>
      <w:r w:rsidR="001B0E2A">
        <w:rPr>
          <w:rFonts w:ascii="宋体" w:hAnsi="宋体" w:hint="eastAsia"/>
          <w:color w:val="000000"/>
          <w:szCs w:val="21"/>
        </w:rPr>
        <w:t>宁夏</w:t>
      </w:r>
      <w:r w:rsidR="00355A25">
        <w:rPr>
          <w:rFonts w:ascii="宋体" w:hAnsi="宋体" w:hint="eastAsia"/>
          <w:color w:val="000000"/>
          <w:szCs w:val="21"/>
        </w:rPr>
        <w:t>生态环境、水利、自然资源、农业农村、应急管理、交通运输、林业和草原、地震、气象</w:t>
      </w:r>
      <w:r w:rsidR="001B0E2A">
        <w:rPr>
          <w:rFonts w:ascii="宋体" w:hAnsi="宋体" w:hint="eastAsia"/>
          <w:color w:val="000000"/>
          <w:szCs w:val="21"/>
        </w:rPr>
        <w:t>等</w:t>
      </w:r>
      <w:r w:rsidR="00355A25">
        <w:rPr>
          <w:rFonts w:ascii="宋体" w:hAnsi="宋体" w:hint="eastAsia"/>
          <w:color w:val="000000"/>
          <w:szCs w:val="21"/>
        </w:rPr>
        <w:t>业务主管部门。</w:t>
      </w:r>
    </w:p>
    <w:p w:rsidR="00447BF6" w:rsidRPr="009A7E78" w:rsidRDefault="00447BF6" w:rsidP="00447BF6">
      <w:pPr>
        <w:ind w:firstLineChars="200" w:firstLine="422"/>
      </w:pPr>
      <w:r w:rsidRPr="009A7E78">
        <w:rPr>
          <w:rFonts w:hint="eastAsia"/>
          <w:b/>
          <w:bCs/>
          <w:bdr w:val="none" w:sz="0" w:space="0" w:color="auto" w:frame="1"/>
        </w:rPr>
        <w:t>四、调查方法</w:t>
      </w:r>
    </w:p>
    <w:p w:rsidR="00447BF6" w:rsidRPr="009A7E78" w:rsidRDefault="0090657D" w:rsidP="00447BF6">
      <w:pPr>
        <w:ind w:firstLineChars="200" w:firstLine="420"/>
        <w:rPr>
          <w:bdr w:val="none" w:sz="0" w:space="0" w:color="auto" w:frame="1"/>
        </w:rPr>
      </w:pPr>
      <w:r>
        <w:rPr>
          <w:rFonts w:hint="eastAsia"/>
          <w:bdr w:val="none" w:sz="0" w:space="0" w:color="auto" w:frame="1"/>
        </w:rPr>
        <w:t>收集</w:t>
      </w:r>
      <w:r>
        <w:rPr>
          <w:bdr w:val="none" w:sz="0" w:space="0" w:color="auto" w:frame="1"/>
        </w:rPr>
        <w:t>整理</w:t>
      </w:r>
      <w:r w:rsidR="003A6782">
        <w:rPr>
          <w:rFonts w:hint="eastAsia"/>
          <w:bdr w:val="none" w:sz="0" w:space="0" w:color="auto" w:frame="1"/>
        </w:rPr>
        <w:t>宁夏</w:t>
      </w:r>
      <w:r w:rsidR="00AD047D">
        <w:rPr>
          <w:rFonts w:ascii="宋体" w:hAnsi="宋体" w:hint="eastAsia"/>
          <w:color w:val="000000"/>
          <w:szCs w:val="21"/>
        </w:rPr>
        <w:t>各</w:t>
      </w:r>
      <w:r>
        <w:rPr>
          <w:bdr w:val="none" w:sz="0" w:space="0" w:color="auto" w:frame="1"/>
        </w:rPr>
        <w:t>有关部门资源环境统计资料</w:t>
      </w:r>
      <w:r w:rsidR="00447BF6" w:rsidRPr="009A7E78">
        <w:rPr>
          <w:rFonts w:hint="eastAsia"/>
          <w:bdr w:val="none" w:sz="0" w:space="0" w:color="auto" w:frame="1"/>
        </w:rPr>
        <w:t>。</w:t>
      </w:r>
    </w:p>
    <w:p w:rsidR="00447BF6" w:rsidRPr="009A7E78" w:rsidRDefault="00447BF6" w:rsidP="00447BF6">
      <w:pPr>
        <w:ind w:firstLineChars="200" w:firstLine="422"/>
      </w:pPr>
      <w:r w:rsidRPr="009A7E78">
        <w:rPr>
          <w:rFonts w:hint="eastAsia"/>
          <w:b/>
          <w:bCs/>
          <w:bdr w:val="none" w:sz="0" w:space="0" w:color="auto" w:frame="1"/>
        </w:rPr>
        <w:t>五、组织方式</w:t>
      </w:r>
    </w:p>
    <w:p w:rsidR="00447BF6" w:rsidRPr="00355A25" w:rsidRDefault="00355A25" w:rsidP="00355A25">
      <w:pPr>
        <w:ind w:firstLineChars="200" w:firstLine="420"/>
        <w:rPr>
          <w:rFonts w:ascii="宋体" w:hAnsi="宋体"/>
          <w:color w:val="000000"/>
          <w:szCs w:val="21"/>
        </w:rPr>
      </w:pPr>
      <w:r>
        <w:rPr>
          <w:rFonts w:ascii="宋体" w:hAnsi="宋体" w:hint="eastAsia"/>
          <w:color w:val="000000"/>
          <w:szCs w:val="21"/>
        </w:rPr>
        <w:t>有关生态环境、水利、城市建设、自然资源、农业农村、应急管理、交通运输、林业和草原、地震、气象的统计业务报表，按自治区、市、县（区）所辖行政区域进行汇总，由各有关业务主管部门报送。本制度规定报送的各类统计报表均属政府综合统计和部门统计的调查内容，各部门在执行过程中，既可在本系统布置收集汇总后报送，也可根据本部门的业务统计报表整理报送。</w:t>
      </w:r>
      <w:r w:rsidR="007A5FF4" w:rsidRPr="00391DF8">
        <w:rPr>
          <w:rFonts w:ascii="宋体" w:hAnsi="宋体"/>
          <w:color w:val="000000"/>
          <w:szCs w:val="21"/>
        </w:rPr>
        <w:t>本制度为年报，</w:t>
      </w:r>
      <w:r w:rsidR="007A5FF4" w:rsidRPr="00391DF8">
        <w:rPr>
          <w:rFonts w:ascii="宋体" w:hAnsi="宋体" w:hint="eastAsia"/>
          <w:color w:val="000000"/>
          <w:szCs w:val="21"/>
        </w:rPr>
        <w:t>各部门</w:t>
      </w:r>
      <w:r w:rsidR="007A5FF4" w:rsidRPr="00391DF8">
        <w:rPr>
          <w:rFonts w:ascii="宋体" w:hAnsi="宋体"/>
          <w:color w:val="000000"/>
          <w:szCs w:val="21"/>
        </w:rPr>
        <w:t>以</w:t>
      </w:r>
      <w:r w:rsidR="007A5FF4" w:rsidRPr="00391DF8">
        <w:rPr>
          <w:rFonts w:ascii="宋体" w:hAnsi="宋体" w:hint="eastAsia"/>
          <w:color w:val="000000"/>
          <w:szCs w:val="21"/>
        </w:rPr>
        <w:t>电子邮件和纸介质两种方式</w:t>
      </w:r>
      <w:r w:rsidR="007A5FF4" w:rsidRPr="00391DF8">
        <w:rPr>
          <w:rFonts w:ascii="宋体" w:hAnsi="宋体"/>
          <w:color w:val="000000"/>
          <w:szCs w:val="21"/>
        </w:rPr>
        <w:t>报送统计报表</w:t>
      </w:r>
      <w:r w:rsidR="00B12DD7">
        <w:rPr>
          <w:rFonts w:ascii="宋体" w:hAnsi="宋体" w:hint="eastAsia"/>
          <w:color w:val="000000"/>
          <w:szCs w:val="21"/>
        </w:rPr>
        <w:t>。</w:t>
      </w:r>
    </w:p>
    <w:p w:rsidR="00447BF6" w:rsidRPr="009A7E78" w:rsidRDefault="00447BF6" w:rsidP="009D66AE">
      <w:pPr>
        <w:ind w:firstLineChars="200" w:firstLine="422"/>
      </w:pPr>
      <w:r w:rsidRPr="009A7E78">
        <w:rPr>
          <w:rFonts w:hint="eastAsia"/>
          <w:b/>
          <w:bCs/>
          <w:bdr w:val="none" w:sz="0" w:space="0" w:color="auto" w:frame="1"/>
        </w:rPr>
        <w:t>六、数据发布</w:t>
      </w:r>
    </w:p>
    <w:p w:rsidR="00447BF6" w:rsidRPr="009A7E78" w:rsidRDefault="00B12DD7" w:rsidP="009D66AE">
      <w:pPr>
        <w:ind w:firstLineChars="200" w:firstLine="420"/>
      </w:pPr>
      <w:r>
        <w:rPr>
          <w:rFonts w:hint="eastAsia"/>
          <w:bdr w:val="none" w:sz="0" w:space="0" w:color="auto" w:frame="1"/>
        </w:rPr>
        <w:t>调查结果</w:t>
      </w:r>
      <w:r>
        <w:rPr>
          <w:bdr w:val="none" w:sz="0" w:space="0" w:color="auto" w:frame="1"/>
        </w:rPr>
        <w:t>通过《宁夏经济</w:t>
      </w:r>
      <w:r>
        <w:rPr>
          <w:rFonts w:hint="eastAsia"/>
          <w:bdr w:val="none" w:sz="0" w:space="0" w:color="auto" w:frame="1"/>
        </w:rPr>
        <w:t>要情</w:t>
      </w:r>
      <w:r>
        <w:rPr>
          <w:bdr w:val="none" w:sz="0" w:space="0" w:color="auto" w:frame="1"/>
        </w:rPr>
        <w:t>手册》、</w:t>
      </w:r>
      <w:r>
        <w:rPr>
          <w:rFonts w:hint="eastAsia"/>
          <w:bdr w:val="none" w:sz="0" w:space="0" w:color="auto" w:frame="1"/>
        </w:rPr>
        <w:t>《</w:t>
      </w:r>
      <w:r>
        <w:rPr>
          <w:bdr w:val="none" w:sz="0" w:space="0" w:color="auto" w:frame="1"/>
        </w:rPr>
        <w:t>宁夏统计年鉴》、《宁夏资源环境统计资料汇编》</w:t>
      </w:r>
      <w:r>
        <w:rPr>
          <w:rFonts w:hint="eastAsia"/>
          <w:bdr w:val="none" w:sz="0" w:space="0" w:color="auto" w:frame="1"/>
        </w:rPr>
        <w:t>等</w:t>
      </w:r>
      <w:r>
        <w:rPr>
          <w:bdr w:val="none" w:sz="0" w:space="0" w:color="auto" w:frame="1"/>
        </w:rPr>
        <w:t>方式公布。</w:t>
      </w:r>
    </w:p>
    <w:p w:rsidR="00447BF6" w:rsidRPr="009A7E78" w:rsidRDefault="00447BF6" w:rsidP="00447BF6">
      <w:pPr>
        <w:ind w:firstLine="200"/>
      </w:pPr>
    </w:p>
    <w:p w:rsidR="00447BF6" w:rsidRPr="00C675D3" w:rsidRDefault="00447BF6" w:rsidP="00447BF6">
      <w:pPr>
        <w:ind w:firstLine="200"/>
      </w:pPr>
    </w:p>
    <w:p w:rsidR="00A066B4" w:rsidRPr="00447BF6" w:rsidRDefault="00A066B4"/>
    <w:sectPr w:rsidR="00A066B4" w:rsidRPr="00447BF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CE" w:rsidRDefault="002B67CE" w:rsidP="00ED4DB1">
      <w:r>
        <w:separator/>
      </w:r>
    </w:p>
  </w:endnote>
  <w:endnote w:type="continuationSeparator" w:id="0">
    <w:p w:rsidR="002B67CE" w:rsidRDefault="002B67CE" w:rsidP="00ED4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CE" w:rsidRDefault="002B67CE" w:rsidP="00ED4DB1">
      <w:r>
        <w:separator/>
      </w:r>
    </w:p>
  </w:footnote>
  <w:footnote w:type="continuationSeparator" w:id="0">
    <w:p w:rsidR="002B67CE" w:rsidRDefault="002B67CE" w:rsidP="00ED4D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BF6"/>
    <w:rsid w:val="00137745"/>
    <w:rsid w:val="001B0E2A"/>
    <w:rsid w:val="002B67CE"/>
    <w:rsid w:val="002C57F4"/>
    <w:rsid w:val="00355A25"/>
    <w:rsid w:val="00385CD5"/>
    <w:rsid w:val="003A6782"/>
    <w:rsid w:val="00447BF6"/>
    <w:rsid w:val="004947D2"/>
    <w:rsid w:val="004A05A3"/>
    <w:rsid w:val="00790700"/>
    <w:rsid w:val="007A5FF4"/>
    <w:rsid w:val="008A18AD"/>
    <w:rsid w:val="008D7468"/>
    <w:rsid w:val="0090657D"/>
    <w:rsid w:val="009D66AE"/>
    <w:rsid w:val="009D772E"/>
    <w:rsid w:val="00A066B4"/>
    <w:rsid w:val="00A367C9"/>
    <w:rsid w:val="00A87D6B"/>
    <w:rsid w:val="00AB45B7"/>
    <w:rsid w:val="00AD047D"/>
    <w:rsid w:val="00B12DD7"/>
    <w:rsid w:val="00B97C20"/>
    <w:rsid w:val="00D64659"/>
    <w:rsid w:val="00D86CFF"/>
    <w:rsid w:val="00ED4DB1"/>
    <w:rsid w:val="00EE4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8E86BA-1AE5-4247-ABB8-B5C470FB9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7BF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447BF6"/>
    <w:pPr>
      <w:spacing w:line="240" w:lineRule="atLeast"/>
    </w:pPr>
    <w:rPr>
      <w:sz w:val="24"/>
      <w:szCs w:val="20"/>
    </w:rPr>
  </w:style>
  <w:style w:type="character" w:customStyle="1" w:styleId="Char">
    <w:name w:val="正文文本 Char"/>
    <w:basedOn w:val="a0"/>
    <w:link w:val="a3"/>
    <w:rsid w:val="00447BF6"/>
    <w:rPr>
      <w:rFonts w:ascii="Times New Roman" w:eastAsia="宋体" w:hAnsi="Times New Roman" w:cs="Times New Roman"/>
      <w:sz w:val="24"/>
      <w:szCs w:val="20"/>
    </w:rPr>
  </w:style>
  <w:style w:type="paragraph" w:styleId="a4">
    <w:name w:val="header"/>
    <w:basedOn w:val="a"/>
    <w:link w:val="Char0"/>
    <w:uiPriority w:val="99"/>
    <w:unhideWhenUsed/>
    <w:rsid w:val="00ED4D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ED4DB1"/>
    <w:rPr>
      <w:rFonts w:ascii="Times New Roman" w:eastAsia="宋体" w:hAnsi="Times New Roman" w:cs="Times New Roman"/>
      <w:sz w:val="18"/>
      <w:szCs w:val="18"/>
    </w:rPr>
  </w:style>
  <w:style w:type="paragraph" w:styleId="a5">
    <w:name w:val="footer"/>
    <w:basedOn w:val="a"/>
    <w:link w:val="Char1"/>
    <w:uiPriority w:val="99"/>
    <w:unhideWhenUsed/>
    <w:rsid w:val="00ED4DB1"/>
    <w:pPr>
      <w:tabs>
        <w:tab w:val="center" w:pos="4153"/>
        <w:tab w:val="right" w:pos="8306"/>
      </w:tabs>
      <w:snapToGrid w:val="0"/>
      <w:jc w:val="left"/>
    </w:pPr>
    <w:rPr>
      <w:sz w:val="18"/>
      <w:szCs w:val="18"/>
    </w:rPr>
  </w:style>
  <w:style w:type="character" w:customStyle="1" w:styleId="Char1">
    <w:name w:val="页脚 Char"/>
    <w:basedOn w:val="a0"/>
    <w:link w:val="a5"/>
    <w:uiPriority w:val="99"/>
    <w:rsid w:val="00ED4DB1"/>
    <w:rPr>
      <w:rFonts w:ascii="Times New Roman" w:eastAsia="宋体" w:hAnsi="Times New Roman" w:cs="Times New Roman"/>
      <w:sz w:val="18"/>
      <w:szCs w:val="18"/>
    </w:rPr>
  </w:style>
  <w:style w:type="paragraph" w:customStyle="1" w:styleId="CharCharChar1CharCharCharCharCharCharChar">
    <w:name w:val="Char Char Char1 Char Char Char Char Char Char Char"/>
    <w:basedOn w:val="a"/>
    <w:rsid w:val="00ED4DB1"/>
    <w:rPr>
      <w:rFonts w:ascii="宋体" w:hAnsi="宋体" w:cs="Courier New"/>
      <w:sz w:val="32"/>
      <w:szCs w:val="32"/>
    </w:rPr>
  </w:style>
  <w:style w:type="paragraph" w:customStyle="1" w:styleId="CharChar1CharChar2CharChar">
    <w:name w:val="Char Char1 Char Char2 Char Char"/>
    <w:basedOn w:val="a"/>
    <w:rsid w:val="009D772E"/>
    <w:pPr>
      <w:widowControl/>
      <w:spacing w:after="160" w:line="240" w:lineRule="exact"/>
      <w:jc w:val="left"/>
    </w:pPr>
    <w:rPr>
      <w:rFonts w:ascii="Verdana" w:hAnsi="Verdana"/>
      <w:kern w:val="0"/>
      <w:sz w:val="20"/>
      <w:szCs w:val="20"/>
      <w:lang w:eastAsia="en-US"/>
    </w:rPr>
  </w:style>
  <w:style w:type="paragraph" w:styleId="a6">
    <w:name w:val="Balloon Text"/>
    <w:basedOn w:val="a"/>
    <w:link w:val="Char2"/>
    <w:uiPriority w:val="99"/>
    <w:semiHidden/>
    <w:unhideWhenUsed/>
    <w:rsid w:val="00B97C20"/>
    <w:rPr>
      <w:sz w:val="18"/>
      <w:szCs w:val="18"/>
    </w:rPr>
  </w:style>
  <w:style w:type="character" w:customStyle="1" w:styleId="Char2">
    <w:name w:val="批注框文本 Char"/>
    <w:basedOn w:val="a0"/>
    <w:link w:val="a6"/>
    <w:uiPriority w:val="99"/>
    <w:semiHidden/>
    <w:rsid w:val="00B97C20"/>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661978">
      <w:bodyDiv w:val="1"/>
      <w:marLeft w:val="0"/>
      <w:marRight w:val="0"/>
      <w:marTop w:val="0"/>
      <w:marBottom w:val="0"/>
      <w:divBdr>
        <w:top w:val="none" w:sz="0" w:space="0" w:color="auto"/>
        <w:left w:val="none" w:sz="0" w:space="0" w:color="auto"/>
        <w:bottom w:val="none" w:sz="0" w:space="0" w:color="auto"/>
        <w:right w:val="none" w:sz="0" w:space="0" w:color="auto"/>
      </w:divBdr>
    </w:div>
    <w:div w:id="801654664">
      <w:bodyDiv w:val="1"/>
      <w:marLeft w:val="0"/>
      <w:marRight w:val="0"/>
      <w:marTop w:val="0"/>
      <w:marBottom w:val="0"/>
      <w:divBdr>
        <w:top w:val="none" w:sz="0" w:space="0" w:color="auto"/>
        <w:left w:val="none" w:sz="0" w:space="0" w:color="auto"/>
        <w:bottom w:val="none" w:sz="0" w:space="0" w:color="auto"/>
        <w:right w:val="none" w:sz="0" w:space="0" w:color="auto"/>
      </w:divBdr>
    </w:div>
    <w:div w:id="117206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1</Pages>
  <Words>100</Words>
  <Characters>570</Characters>
  <Application>Microsoft Office Word</Application>
  <DocSecurity>0</DocSecurity>
  <Lines>4</Lines>
  <Paragraphs>1</Paragraphs>
  <ScaleCrop>false</ScaleCrop>
  <Company>国家统计局</Company>
  <LinksUpToDate>false</LinksUpToDate>
  <CharactersWithSpaces>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王蓉(拟稿)</dc:creator>
  <cp:keywords/>
  <dc:description/>
  <cp:lastModifiedBy>王蓉(工作人员承办)</cp:lastModifiedBy>
  <cp:revision>17</cp:revision>
  <cp:lastPrinted>2021-02-05T02:43:00Z</cp:lastPrinted>
  <dcterms:created xsi:type="dcterms:W3CDTF">2019-04-16T06:49:00Z</dcterms:created>
  <dcterms:modified xsi:type="dcterms:W3CDTF">2021-02-05T06:16:00Z</dcterms:modified>
</cp:coreProperties>
</file>